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880" w:firstLineChars="200"/>
        <w:jc w:val="center"/>
        <w:textAlignment w:val="auto"/>
        <w:outlineLvl w:val="9"/>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 xml:space="preserve"> </w:t>
      </w:r>
    </w:p>
    <w:p>
      <w:pPr>
        <w:pStyle w:val="10"/>
        <w:keepNext/>
        <w:keepLines/>
        <w:pageBreakBefore w:val="0"/>
        <w:widowControl w:val="0"/>
        <w:shd w:val="clear" w:color="auto" w:fill="auto"/>
        <w:kinsoku/>
        <w:wordWrap/>
        <w:overflowPunct/>
        <w:topLinePunct w:val="0"/>
        <w:autoSpaceDE/>
        <w:autoSpaceDN/>
        <w:bidi w:val="0"/>
        <w:adjustRightInd/>
        <w:snapToGrid/>
        <w:spacing w:before="0" w:after="956" w:line="560" w:lineRule="exact"/>
        <w:ind w:right="0"/>
        <w:jc w:val="center"/>
        <w:textAlignment w:val="auto"/>
        <w:rPr>
          <w:rFonts w:hint="eastAsia" w:ascii="方正小标宋简体" w:hAnsi="方正小标宋简体" w:eastAsia="方正小标宋简体" w:cs="方正小标宋简体"/>
          <w:sz w:val="44"/>
          <w:szCs w:val="44"/>
        </w:rPr>
      </w:pPr>
      <w:bookmarkStart w:id="0" w:name="bookmark0"/>
      <w:r>
        <w:rPr>
          <w:rFonts w:hint="eastAsia" w:ascii="方正小标宋简体" w:hAnsi="方正小标宋简体" w:eastAsia="方正小标宋简体" w:cs="方正小标宋简体"/>
          <w:color w:val="000000"/>
          <w:spacing w:val="0"/>
          <w:w w:val="100"/>
          <w:position w:val="0"/>
          <w:sz w:val="44"/>
          <w:szCs w:val="44"/>
          <w:lang w:val="zh-CN" w:eastAsia="zh-CN" w:bidi="zh-CN"/>
        </w:rPr>
        <w:t>威海临港经济技术开发区建设局</w:t>
      </w:r>
      <w:r>
        <w:rPr>
          <w:rFonts w:hint="eastAsia" w:ascii="方正小标宋简体" w:hAnsi="方正小标宋简体" w:eastAsia="方正小标宋简体" w:cs="方正小标宋简体"/>
          <w:color w:val="000000"/>
          <w:spacing w:val="0"/>
          <w:w w:val="100"/>
          <w:position w:val="0"/>
          <w:sz w:val="44"/>
          <w:szCs w:val="44"/>
          <w:lang w:val="zh-CN" w:eastAsia="zh-CN" w:bidi="zh-CN"/>
        </w:rPr>
        <w:br w:type="textWrapping"/>
      </w:r>
      <w:r>
        <w:rPr>
          <w:rFonts w:hint="eastAsia" w:ascii="方正小标宋简体" w:hAnsi="方正小标宋简体" w:eastAsia="方正小标宋简体" w:cs="方正小标宋简体"/>
          <w:color w:val="000000"/>
          <w:spacing w:val="0"/>
          <w:w w:val="100"/>
          <w:position w:val="0"/>
          <w:sz w:val="44"/>
          <w:szCs w:val="44"/>
          <w:lang w:val="en-US" w:eastAsia="zh-CN" w:bidi="zh-CN"/>
        </w:rPr>
        <w:t xml:space="preserve">  </w:t>
      </w:r>
      <w:r>
        <w:rPr>
          <w:rFonts w:hint="eastAsia" w:ascii="方正小标宋简体" w:hAnsi="方正小标宋简体" w:eastAsia="方正小标宋简体" w:cs="方正小标宋简体"/>
          <w:color w:val="000000"/>
          <w:spacing w:val="0"/>
          <w:w w:val="100"/>
          <w:position w:val="0"/>
          <w:sz w:val="44"/>
          <w:szCs w:val="44"/>
          <w:lang w:val="zh-CN" w:eastAsia="zh-CN" w:bidi="zh-CN"/>
        </w:rPr>
        <w:t>201</w:t>
      </w:r>
      <w:r>
        <w:rPr>
          <w:rFonts w:hint="eastAsia" w:ascii="方正小标宋简体" w:hAnsi="方正小标宋简体" w:eastAsia="方正小标宋简体" w:cs="方正小标宋简体"/>
          <w:color w:val="000000"/>
          <w:spacing w:val="0"/>
          <w:w w:val="100"/>
          <w:position w:val="0"/>
          <w:sz w:val="44"/>
          <w:szCs w:val="44"/>
          <w:lang w:val="en-US" w:eastAsia="zh-CN" w:bidi="zh-CN"/>
        </w:rPr>
        <w:t>8</w:t>
      </w:r>
      <w:r>
        <w:rPr>
          <w:rFonts w:hint="eastAsia" w:ascii="方正小标宋简体" w:hAnsi="方正小标宋简体" w:eastAsia="方正小标宋简体" w:cs="方正小标宋简体"/>
          <w:color w:val="000000"/>
          <w:spacing w:val="0"/>
          <w:w w:val="100"/>
          <w:position w:val="0"/>
          <w:sz w:val="44"/>
          <w:szCs w:val="44"/>
          <w:lang w:val="zh-CN" w:eastAsia="zh-CN" w:bidi="zh-CN"/>
        </w:rPr>
        <w:t>年政务公开年度报告</w:t>
      </w:r>
      <w:bookmarkEnd w:id="0"/>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根据《中华人民共和国政府信息公开条例》、《山东省政府信息公开办法》和《威海市政府办公室关于做好 2018 年度政府信息公开年度报告编制发布工作的通知》要求，临港区建设局2018年度政府信息公开年度报告公布如下：</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zh-CN" w:eastAsia="zh-CN" w:bidi="ar-SA"/>
        </w:rPr>
        <w:t>本报告由概述、政务公开的组织领导 和制度建设情况、发布解读、回应社会关切以及互动交流情况，重点领域政府信息公开工作推进情况、主动公开政府信息以及公开平台建设情况等几个部分组成。本报告中所列数据的统计时限20</w:t>
      </w:r>
      <w:r>
        <w:rPr>
          <w:rFonts w:hint="eastAsia" w:ascii="Times New Roman" w:hAnsi="Times New Roman" w:eastAsia="仿宋_GB2312" w:cs="Times New Roman"/>
          <w:spacing w:val="0"/>
          <w:kern w:val="2"/>
          <w:sz w:val="32"/>
          <w:szCs w:val="32"/>
          <w:u w:val="none"/>
          <w:lang w:val="en-US" w:eastAsia="zh-CN" w:bidi="ar-SA"/>
        </w:rPr>
        <w:t>18</w:t>
      </w:r>
      <w:r>
        <w:rPr>
          <w:rFonts w:hint="eastAsia" w:ascii="Times New Roman" w:hAnsi="Times New Roman" w:eastAsia="仿宋_GB2312" w:cs="Times New Roman"/>
          <w:spacing w:val="0"/>
          <w:kern w:val="2"/>
          <w:sz w:val="32"/>
          <w:szCs w:val="32"/>
          <w:u w:val="none"/>
          <w:lang w:val="zh-CN" w:eastAsia="zh-CN" w:bidi="ar-SA"/>
        </w:rPr>
        <w:t>年1月1日起至201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年12月31日止。如对本报告有疑 问，请与威海临港区建设局办公室联系（地址：威海市临港区江苏中路，电话：0631-</w:t>
      </w:r>
      <w:r>
        <w:rPr>
          <w:rFonts w:hint="eastAsia" w:ascii="Times New Roman" w:hAnsi="Times New Roman" w:eastAsia="仿宋_GB2312" w:cs="Times New Roman"/>
          <w:spacing w:val="0"/>
          <w:kern w:val="2"/>
          <w:sz w:val="32"/>
          <w:szCs w:val="32"/>
          <w:u w:val="none"/>
          <w:lang w:val="en-US" w:eastAsia="zh-CN" w:bidi="ar-SA"/>
        </w:rPr>
        <w:t>5581991</w:t>
      </w:r>
      <w:r>
        <w:rPr>
          <w:rFonts w:hint="eastAsia" w:ascii="Times New Roman" w:hAnsi="Times New Roman" w:eastAsia="仿宋_GB2312" w:cs="Times New Roman"/>
          <w:spacing w:val="0"/>
          <w:kern w:val="2"/>
          <w:sz w:val="32"/>
          <w:szCs w:val="32"/>
          <w:u w:val="none"/>
          <w:lang w:val="zh-CN" w:eastAsia="zh-CN" w:bidi="ar-SA"/>
        </w:rPr>
        <w:t>）。</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zh-CN" w:eastAsia="zh-CN" w:bidi="ar-SA"/>
        </w:rPr>
        <w:t>一</w:t>
      </w:r>
      <w:r>
        <w:rPr>
          <w:rFonts w:hint="eastAsia" w:ascii="黑体" w:hAnsi="黑体" w:eastAsia="黑体" w:cs="黑体"/>
          <w:b w:val="0"/>
          <w:bCs w:val="0"/>
          <w:spacing w:val="0"/>
          <w:kern w:val="2"/>
          <w:sz w:val="32"/>
          <w:szCs w:val="32"/>
          <w:u w:val="none"/>
          <w:lang w:val="zh-CN" w:eastAsia="zh-CN" w:bidi="ar-SA"/>
        </w:rPr>
        <w:t>、概况</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zh-CN" w:eastAsia="zh-CN" w:bidi="ar-SA"/>
        </w:rPr>
        <w:t>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是我区建设事业落实“十三五”规划关键之年，也是区建设局政府信息公开工作加快推进之年。一年来，区建设局贯彻落实国家、省关于政府信息公开有关部署，认真按照相关法规制度要求，坚持公开为常态、不公开为例外原则，着力提升信息发布、政策解 读和社会关切回应工作质量，政府信息公开各项工作取得新的进展。201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年共主动公开政府信息</w:t>
      </w:r>
      <w:r>
        <w:rPr>
          <w:rFonts w:hint="eastAsia" w:ascii="Times New Roman" w:hAnsi="Times New Roman" w:eastAsia="仿宋_GB2312" w:cs="Times New Roman"/>
          <w:spacing w:val="0"/>
          <w:kern w:val="2"/>
          <w:sz w:val="32"/>
          <w:szCs w:val="32"/>
          <w:u w:val="none"/>
          <w:lang w:val="en-US" w:eastAsia="zh-CN" w:bidi="ar-SA"/>
        </w:rPr>
        <w:t>106</w:t>
      </w:r>
      <w:r>
        <w:rPr>
          <w:rFonts w:hint="eastAsia" w:ascii="Times New Roman" w:hAnsi="Times New Roman" w:eastAsia="仿宋_GB2312" w:cs="Times New Roman"/>
          <w:spacing w:val="0"/>
          <w:kern w:val="2"/>
          <w:sz w:val="32"/>
          <w:szCs w:val="32"/>
          <w:u w:val="none"/>
          <w:lang w:val="zh-CN" w:eastAsia="zh-CN" w:bidi="ar-SA"/>
        </w:rPr>
        <w:t>条，回应各类社会关切</w:t>
      </w:r>
      <w:r>
        <w:rPr>
          <w:rFonts w:hint="eastAsia" w:ascii="Times New Roman" w:hAnsi="Times New Roman" w:eastAsia="仿宋_GB2312" w:cs="Times New Roman"/>
          <w:spacing w:val="0"/>
          <w:kern w:val="2"/>
          <w:sz w:val="32"/>
          <w:szCs w:val="32"/>
          <w:u w:val="none"/>
          <w:lang w:val="en-US" w:eastAsia="zh-CN" w:bidi="ar-SA"/>
        </w:rPr>
        <w:t>2</w:t>
      </w:r>
      <w:r>
        <w:rPr>
          <w:rFonts w:hint="eastAsia" w:ascii="Times New Roman" w:hAnsi="Times New Roman" w:eastAsia="仿宋_GB2312" w:cs="Times New Roman"/>
          <w:spacing w:val="0"/>
          <w:kern w:val="2"/>
          <w:sz w:val="32"/>
          <w:szCs w:val="32"/>
          <w:u w:val="none"/>
          <w:lang w:val="zh-CN" w:eastAsia="zh-CN" w:bidi="ar-SA"/>
        </w:rPr>
        <w:t>次。</w:t>
      </w:r>
    </w:p>
    <w:p>
      <w:pPr>
        <w:pStyle w:val="11"/>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黑体" w:hAnsi="黑体" w:eastAsia="黑体" w:cs="黑体"/>
          <w:b w:val="0"/>
          <w:bCs w:val="0"/>
          <w:spacing w:val="0"/>
          <w:kern w:val="2"/>
          <w:sz w:val="32"/>
          <w:szCs w:val="32"/>
          <w:u w:val="none"/>
          <w:lang w:val="en-US" w:eastAsia="zh-CN" w:bidi="ar-SA"/>
        </w:rPr>
      </w:pPr>
      <w:r>
        <w:rPr>
          <w:rFonts w:hint="eastAsia" w:ascii="黑体" w:hAnsi="黑体" w:eastAsia="黑体" w:cs="黑体"/>
          <w:b w:val="0"/>
          <w:bCs w:val="0"/>
          <w:spacing w:val="0"/>
          <w:kern w:val="2"/>
          <w:sz w:val="32"/>
          <w:szCs w:val="32"/>
          <w:u w:val="none"/>
          <w:lang w:val="zh-CN" w:eastAsia="zh-CN" w:bidi="ar-SA"/>
        </w:rPr>
        <w:t>二、政务公开的组织领导和制度建设情况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成立了由分管局长任组长，局各科室、局属单位等有关负责人为成员的政务公开工作领导小组，统一负责对我局政 务公开工作的组织、指导和协调，同时，把“政务（信息）公开”作为年度工作重点内容，要求加强政务信息数据整合共享，完善政府信息发布和政策解读制度，及时回应社会关切，不断提高做好政府信息公开工作的积极性和主动性。</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黑体" w:eastAsia="黑体" w:cs="黑体"/>
          <w:b w:val="0"/>
          <w:bCs w:val="0"/>
          <w:spacing w:val="0"/>
          <w:kern w:val="2"/>
          <w:sz w:val="32"/>
          <w:szCs w:val="32"/>
          <w:u w:val="none"/>
          <w:lang w:val="zh-CN" w:eastAsia="zh-CN" w:bidi="ar-SA"/>
        </w:rPr>
      </w:pPr>
      <w:r>
        <w:rPr>
          <w:rFonts w:hint="eastAsia" w:ascii="黑体" w:hAnsi="黑体" w:eastAsia="黑体" w:cs="黑体"/>
          <w:b w:val="0"/>
          <w:bCs w:val="0"/>
          <w:spacing w:val="0"/>
          <w:kern w:val="2"/>
          <w:sz w:val="32"/>
          <w:szCs w:val="32"/>
          <w:u w:val="none"/>
          <w:lang w:val="zh-CN" w:eastAsia="zh-CN" w:bidi="ar-SA"/>
        </w:rPr>
        <w:t>发布解读、回应社会关切以及互动交流情况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en-US" w:eastAsia="zh-CN" w:bidi="ar-SA"/>
        </w:rPr>
        <w:t>2018年我局发布政策解读2条，无</w:t>
      </w:r>
      <w:r>
        <w:rPr>
          <w:rFonts w:hint="eastAsia" w:ascii="Times New Roman" w:hAnsi="Times New Roman" w:eastAsia="仿宋_GB2312" w:cs="Times New Roman"/>
          <w:spacing w:val="0"/>
          <w:kern w:val="2"/>
          <w:sz w:val="32"/>
          <w:szCs w:val="32"/>
          <w:u w:val="none"/>
          <w:lang w:val="zh-CN" w:eastAsia="zh-CN" w:bidi="ar-SA"/>
        </w:rPr>
        <w:t>回应社会关切以及互动交流情况。</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firstLine="640" w:firstLineChars="200"/>
        <w:textAlignment w:val="auto"/>
        <w:outlineLvl w:val="9"/>
        <w:rPr>
          <w:rFonts w:hint="eastAsia" w:ascii="黑体" w:hAnsi="黑体" w:eastAsia="黑体" w:cs="黑体"/>
          <w:spacing w:val="0"/>
          <w:kern w:val="2"/>
          <w:sz w:val="32"/>
          <w:szCs w:val="32"/>
          <w:u w:val="none"/>
          <w:lang w:val="zh-CN" w:eastAsia="zh-CN" w:bidi="ar-SA"/>
        </w:rPr>
      </w:pPr>
      <w:bookmarkStart w:id="1" w:name="bookmark2"/>
      <w:r>
        <w:rPr>
          <w:rFonts w:hint="eastAsia" w:ascii="黑体" w:hAnsi="黑体" w:eastAsia="黑体" w:cs="黑体"/>
          <w:spacing w:val="0"/>
          <w:kern w:val="2"/>
          <w:sz w:val="32"/>
          <w:szCs w:val="32"/>
          <w:u w:val="none"/>
          <w:lang w:val="zh-CN" w:eastAsia="zh-CN" w:bidi="ar-SA"/>
        </w:rPr>
        <w:t>四、重点领域政府信息公开工作推进情况</w:t>
      </w:r>
      <w:bookmarkEnd w:id="1"/>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60" w:line="240" w:lineRule="auto"/>
        <w:ind w:right="0" w:firstLine="626" w:firstLineChars="200"/>
        <w:jc w:val="both"/>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w w:val="98"/>
          <w:kern w:val="2"/>
          <w:sz w:val="32"/>
          <w:szCs w:val="32"/>
          <w:u w:val="none"/>
          <w:lang w:val="zh-CN" w:eastAsia="zh-CN" w:bidi="ar-SA"/>
        </w:rPr>
        <w:t>（一）加强房地产市场政策信息公开。及时发布国家和省、市房地产市场调控政策。发布房地产业“市场政策”、“政策解读”等信息</w:t>
      </w:r>
      <w:r>
        <w:rPr>
          <w:rFonts w:hint="eastAsia" w:ascii="Times New Roman" w:hAnsi="Times New Roman" w:eastAsia="仿宋_GB2312" w:cs="Times New Roman"/>
          <w:spacing w:val="0"/>
          <w:w w:val="98"/>
          <w:kern w:val="2"/>
          <w:sz w:val="32"/>
          <w:szCs w:val="32"/>
          <w:u w:val="none"/>
          <w:lang w:val="en-US" w:eastAsia="zh-CN" w:bidi="ar-SA"/>
        </w:rPr>
        <w:t>2条</w:t>
      </w:r>
      <w:r>
        <w:rPr>
          <w:rFonts w:hint="eastAsia" w:ascii="Times New Roman" w:hAnsi="Times New Roman" w:eastAsia="仿宋_GB2312" w:cs="Times New Roman"/>
          <w:spacing w:val="0"/>
          <w:w w:val="98"/>
          <w:kern w:val="2"/>
          <w:sz w:val="32"/>
          <w:szCs w:val="32"/>
          <w:u w:val="none"/>
          <w:lang w:val="zh-CN" w:eastAsia="zh-CN" w:bidi="ar-SA"/>
        </w:rPr>
        <w:t>并及时做好相关文件的政策发布、解读。</w:t>
      </w:r>
      <w:r>
        <w:drawing>
          <wp:inline distT="0" distB="0" distL="114300" distR="114300">
            <wp:extent cx="5268595" cy="3723640"/>
            <wp:effectExtent l="0" t="0" r="8255"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
                    <a:stretch>
                      <a:fillRect/>
                    </a:stretch>
                  </pic:blipFill>
                  <pic:spPr>
                    <a:xfrm>
                      <a:off x="0" y="0"/>
                      <a:ext cx="5268595" cy="3723640"/>
                    </a:xfrm>
                    <a:prstGeom prst="rect">
                      <a:avLst/>
                    </a:prstGeom>
                    <a:noFill/>
                    <a:ln w="9525">
                      <a:noFill/>
                    </a:ln>
                  </pic:spPr>
                </pic:pic>
              </a:graphicData>
            </a:graphic>
          </wp:inline>
        </w:drawing>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38" w:line="560" w:lineRule="exact"/>
        <w:ind w:left="0" w:right="0" w:firstLine="640" w:firstLineChars="200"/>
        <w:jc w:val="both"/>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zh-CN" w:eastAsia="zh-CN" w:bidi="ar-SA"/>
        </w:rPr>
        <w:t>（二）完善保障性安居工程信息公开。深化棚户区改造及配套基础设施建设相关政策措施执行情况公开工作，及时公开棚户区改造年度计划开工套数和工程进度等信息共计</w:t>
      </w:r>
      <w:r>
        <w:rPr>
          <w:rFonts w:hint="eastAsia" w:ascii="Times New Roman" w:hAnsi="Times New Roman" w:eastAsia="仿宋_GB2312" w:cs="Times New Roman"/>
          <w:spacing w:val="0"/>
          <w:kern w:val="2"/>
          <w:sz w:val="32"/>
          <w:szCs w:val="32"/>
          <w:u w:val="none"/>
          <w:lang w:val="en-US" w:eastAsia="zh-CN" w:bidi="ar-SA"/>
        </w:rPr>
        <w:t>6条，</w:t>
      </w:r>
      <w:r>
        <w:rPr>
          <w:rFonts w:hint="eastAsia" w:ascii="Times New Roman" w:hAnsi="Times New Roman" w:eastAsia="仿宋_GB2312" w:cs="Times New Roman"/>
          <w:spacing w:val="0"/>
          <w:kern w:val="2"/>
          <w:sz w:val="32"/>
          <w:szCs w:val="32"/>
          <w:u w:val="none"/>
          <w:lang w:val="zh-CN" w:eastAsia="zh-CN" w:bidi="ar-SA"/>
        </w:rPr>
        <w:t>继续推进保障房分配信息公开，持续公开保障性住房分配政策、分配程序、分配房源、分配对象、分配过程、分配结果信息。</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640" w:firstLineChars="200"/>
        <w:jc w:val="left"/>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zh-CN" w:eastAsia="zh-CN" w:bidi="ar-SA"/>
        </w:rPr>
        <mc:AlternateContent>
          <mc:Choice Requires="wps">
            <w:drawing>
              <wp:anchor distT="0" distB="118745" distL="114300" distR="114300" simplePos="0" relativeHeight="377486336" behindDoc="1" locked="0" layoutInCell="1" allowOverlap="1">
                <wp:simplePos x="0" y="0"/>
                <wp:positionH relativeFrom="margin">
                  <wp:posOffset>2110740</wp:posOffset>
                </wp:positionH>
                <wp:positionV relativeFrom="paragraph">
                  <wp:posOffset>3197225</wp:posOffset>
                </wp:positionV>
                <wp:extent cx="597535" cy="100965"/>
                <wp:effectExtent l="0" t="0" r="0" b="0"/>
                <wp:wrapTopAndBottom/>
                <wp:docPr id="2" name="文本框 2"/>
                <wp:cNvGraphicFramePr/>
                <a:graphic xmlns:a="http://schemas.openxmlformats.org/drawingml/2006/main">
                  <a:graphicData uri="http://schemas.microsoft.com/office/word/2010/wordprocessingShape">
                    <wps:wsp>
                      <wps:cNvSpPr txBox="1"/>
                      <wps:spPr>
                        <a:xfrm>
                          <a:off x="0" y="0"/>
                          <a:ext cx="597535" cy="100965"/>
                        </a:xfrm>
                        <a:prstGeom prst="rect">
                          <a:avLst/>
                        </a:prstGeom>
                        <a:noFill/>
                        <a:ln w="9525">
                          <a:noFill/>
                        </a:ln>
                      </wps:spPr>
                      <wps:txbx>
                        <w:txbxContent>
                          <w:p>
                            <w:pPr>
                              <w:pStyle w:val="13"/>
                              <w:keepNext w:val="0"/>
                              <w:keepLines w:val="0"/>
                              <w:widowControl w:val="0"/>
                              <w:shd w:val="clear" w:color="auto" w:fill="auto"/>
                              <w:bidi w:val="0"/>
                              <w:spacing w:before="0" w:after="0"/>
                              <w:ind w:left="0" w:right="0" w:firstLine="0"/>
                              <w:jc w:val="left"/>
                            </w:pPr>
                          </w:p>
                        </w:txbxContent>
                      </wps:txbx>
                      <wps:bodyPr lIns="0" tIns="0" rIns="0" bIns="0" upright="1">
                        <a:spAutoFit/>
                      </wps:bodyPr>
                    </wps:wsp>
                  </a:graphicData>
                </a:graphic>
              </wp:anchor>
            </w:drawing>
          </mc:Choice>
          <mc:Fallback>
            <w:pict>
              <v:shape id="_x0000_s1026" o:spid="_x0000_s1026" o:spt="202" type="#_x0000_t202" style="position:absolute;left:0pt;margin-left:166.2pt;margin-top:251.75pt;height:7.95pt;width:47.05pt;mso-position-horizontal-relative:margin;mso-wrap-distance-bottom:9.35pt;mso-wrap-distance-top:0pt;z-index:-125830144;mso-width-relative:page;mso-height-relative:page;" filled="f" stroked="f" coordsize="21600,21600" o:gfxdata="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7q1atgAAAALAQAADwAAAAAAAAABACAAAAAiAAAAZHJzL2Rvd25yZXYueG1sUEsBAhQAFAAAAAgA&#10;h07iQEsKRlKzAQAARgMAAA4AAAAAAAAAAQAgAAAAJwEAAGRycy9lMm9Eb2MueG1sUEsFBgAAAAAG&#10;AAYAWQEAAEwFAAAAAA==&#10;">
                <v:fill on="f" focussize="0,0"/>
                <v:stroke on="f"/>
                <v:imagedata o:title=""/>
                <o:lock v:ext="edit" aspectratio="f"/>
                <v:textbox inset="0mm,0mm,0mm,0mm" style="mso-fit-shape-to-text:t;">
                  <w:txbxContent>
                    <w:p>
                      <w:pPr>
                        <w:pStyle w:val="13"/>
                        <w:keepNext w:val="0"/>
                        <w:keepLines w:val="0"/>
                        <w:widowControl w:val="0"/>
                        <w:shd w:val="clear" w:color="auto" w:fill="auto"/>
                        <w:bidi w:val="0"/>
                        <w:spacing w:before="0" w:after="0"/>
                        <w:ind w:left="0" w:right="0" w:firstLine="0"/>
                        <w:jc w:val="left"/>
                      </w:pPr>
                    </w:p>
                  </w:txbxContent>
                </v:textbox>
                <w10:wrap type="topAndBottom"/>
              </v:shape>
            </w:pict>
          </mc:Fallback>
        </mc:AlternateContent>
      </w:r>
      <w:r>
        <w:rPr>
          <w:rFonts w:hint="eastAsia" w:ascii="Times New Roman" w:hAnsi="Times New Roman" w:eastAsia="仿宋_GB2312" w:cs="Times New Roman"/>
          <w:spacing w:val="0"/>
          <w:kern w:val="2"/>
          <w:sz w:val="32"/>
          <w:szCs w:val="32"/>
          <w:u w:val="none"/>
          <w:lang w:val="zh-CN" w:eastAsia="zh-CN" w:bidi="ar-SA"/>
        </w:rPr>
        <mc:AlternateContent>
          <mc:Choice Requires="wps">
            <w:drawing>
              <wp:anchor distT="0" distB="118745" distL="114300" distR="114300" simplePos="0" relativeHeight="377486336" behindDoc="1" locked="0" layoutInCell="1" allowOverlap="1">
                <wp:simplePos x="0" y="0"/>
                <wp:positionH relativeFrom="margin">
                  <wp:posOffset>4695190</wp:posOffset>
                </wp:positionH>
                <wp:positionV relativeFrom="paragraph">
                  <wp:posOffset>3524250</wp:posOffset>
                </wp:positionV>
                <wp:extent cx="688975" cy="282575"/>
                <wp:effectExtent l="0" t="0" r="0" b="0"/>
                <wp:wrapTopAndBottom/>
                <wp:docPr id="1" name="文本框 1"/>
                <wp:cNvGraphicFramePr/>
                <a:graphic xmlns:a="http://schemas.openxmlformats.org/drawingml/2006/main">
                  <a:graphicData uri="http://schemas.microsoft.com/office/word/2010/wordprocessingShape">
                    <wps:wsp>
                      <wps:cNvSpPr txBox="1"/>
                      <wps:spPr>
                        <a:xfrm>
                          <a:off x="0" y="0"/>
                          <a:ext cx="688975" cy="282575"/>
                        </a:xfrm>
                        <a:prstGeom prst="rect">
                          <a:avLst/>
                        </a:prstGeom>
                        <a:noFill/>
                        <a:ln w="9525">
                          <a:noFill/>
                        </a:ln>
                      </wps:spPr>
                      <wps:txbx>
                        <w:txbxContent>
                          <w:p>
                            <w:pPr>
                              <w:pStyle w:val="13"/>
                              <w:keepNext w:val="0"/>
                              <w:keepLines w:val="0"/>
                              <w:widowControl w:val="0"/>
                              <w:shd w:val="clear" w:color="auto" w:fill="auto"/>
                              <w:bidi w:val="0"/>
                              <w:spacing w:before="0" w:after="0" w:line="197" w:lineRule="exact"/>
                              <w:ind w:left="0" w:right="140" w:firstLine="0"/>
                              <w:jc w:val="both"/>
                            </w:pPr>
                            <w:r>
                              <w:rPr>
                                <w:rStyle w:val="14"/>
                                <w:b w:val="0"/>
                                <w:bCs w:val="0"/>
                                <w:i w:val="0"/>
                                <w:iCs w:val="0"/>
                                <w:smallCaps w:val="0"/>
                                <w:strike w:val="0"/>
                              </w:rPr>
                              <w:t>*</w:t>
                            </w:r>
                          </w:p>
                        </w:txbxContent>
                      </wps:txbx>
                      <wps:bodyPr lIns="0" tIns="0" rIns="0" bIns="0" upright="1">
                        <a:spAutoFit/>
                      </wps:bodyPr>
                    </wps:wsp>
                  </a:graphicData>
                </a:graphic>
              </wp:anchor>
            </w:drawing>
          </mc:Choice>
          <mc:Fallback>
            <w:pict>
              <v:shape id="_x0000_s1026" o:spid="_x0000_s1026" o:spt="202" type="#_x0000_t202" style="position:absolute;left:0pt;margin-left:369.7pt;margin-top:277.5pt;height:22.25pt;width:54.25pt;mso-position-horizontal-relative:margin;mso-wrap-distance-bottom:9.35pt;mso-wrap-distance-top:0pt;z-index:-125830144;mso-width-relative:page;mso-height-relative:page;" filled="f" stroked="f" coordsize="21600,21600" o:gfxdata="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cfF+dkAAAALAQAADwAAAAAAAAABACAAAAAiAAAAZHJzL2Rvd25yZXYueG1sUEsBAhQAFAAAAAgA&#10;h07iQLoxsfmyAQAARgMAAA4AAAAAAAAAAQAgAAAAKAEAAGRycy9lMm9Eb2MueG1sUEsFBgAAAAAG&#10;AAYAWQEAAEwFAAAAAA==&#10;">
                <v:fill on="f" focussize="0,0"/>
                <v:stroke on="f"/>
                <v:imagedata o:title=""/>
                <o:lock v:ext="edit" aspectratio="f"/>
                <v:textbox inset="0mm,0mm,0mm,0mm" style="mso-fit-shape-to-text:t;">
                  <w:txbxContent>
                    <w:p>
                      <w:pPr>
                        <w:pStyle w:val="13"/>
                        <w:keepNext w:val="0"/>
                        <w:keepLines w:val="0"/>
                        <w:widowControl w:val="0"/>
                        <w:shd w:val="clear" w:color="auto" w:fill="auto"/>
                        <w:bidi w:val="0"/>
                        <w:spacing w:before="0" w:after="0" w:line="197" w:lineRule="exact"/>
                        <w:ind w:left="0" w:right="140" w:firstLine="0"/>
                        <w:jc w:val="both"/>
                      </w:pPr>
                      <w:r>
                        <w:rPr>
                          <w:rStyle w:val="14"/>
                          <w:b w:val="0"/>
                          <w:bCs w:val="0"/>
                          <w:i w:val="0"/>
                          <w:iCs w:val="0"/>
                          <w:smallCaps w:val="0"/>
                          <w:strike w:val="0"/>
                        </w:rPr>
                        <w:t>*</w:t>
                      </w:r>
                    </w:p>
                  </w:txbxContent>
                </v:textbox>
                <w10:wrap type="topAndBottom"/>
              </v:shape>
            </w:pict>
          </mc:Fallback>
        </mc:AlternateContent>
      </w:r>
      <w:r>
        <w:rPr>
          <w:rFonts w:hint="eastAsia" w:ascii="Times New Roman" w:hAnsi="Times New Roman" w:eastAsia="仿宋_GB2312" w:cs="Times New Roman"/>
          <w:spacing w:val="0"/>
          <w:kern w:val="2"/>
          <w:sz w:val="32"/>
          <w:szCs w:val="32"/>
          <w:u w:val="none"/>
          <w:lang w:val="zh-CN" w:eastAsia="zh-CN" w:bidi="ar-SA"/>
        </w:rPr>
        <mc:AlternateContent>
          <mc:Choice Requires="wps">
            <w:drawing>
              <wp:anchor distT="0" distB="0" distL="114300" distR="114300" simplePos="0" relativeHeight="377486336" behindDoc="1" locked="0" layoutInCell="1" allowOverlap="1">
                <wp:simplePos x="0" y="0"/>
                <wp:positionH relativeFrom="margin">
                  <wp:posOffset>2354580</wp:posOffset>
                </wp:positionH>
                <wp:positionV relativeFrom="paragraph">
                  <wp:posOffset>3691255</wp:posOffset>
                </wp:positionV>
                <wp:extent cx="201295" cy="97790"/>
                <wp:effectExtent l="0" t="0" r="0" b="0"/>
                <wp:wrapTopAndBottom/>
                <wp:docPr id="6" name="文本框 6"/>
                <wp:cNvGraphicFramePr/>
                <a:graphic xmlns:a="http://schemas.openxmlformats.org/drawingml/2006/main">
                  <a:graphicData uri="http://schemas.microsoft.com/office/word/2010/wordprocessingShape">
                    <wps:wsp>
                      <wps:cNvSpPr txBox="1"/>
                      <wps:spPr>
                        <a:xfrm>
                          <a:off x="0" y="0"/>
                          <a:ext cx="201295" cy="97790"/>
                        </a:xfrm>
                        <a:prstGeom prst="rect">
                          <a:avLst/>
                        </a:prstGeom>
                        <a:noFill/>
                        <a:ln w="9525">
                          <a:noFill/>
                        </a:ln>
                      </wps:spPr>
                      <wps:txbx>
                        <w:txbxContent>
                          <w:p>
                            <w:pPr>
                              <w:pStyle w:val="21"/>
                              <w:keepNext w:val="0"/>
                              <w:keepLines w:val="0"/>
                              <w:widowControl w:val="0"/>
                              <w:shd w:val="clear" w:color="auto" w:fill="auto"/>
                              <w:bidi w:val="0"/>
                              <w:spacing w:before="0" w:after="0" w:line="100" w:lineRule="exact"/>
                              <w:ind w:left="0" w:right="0" w:firstLine="0"/>
                              <w:jc w:val="left"/>
                            </w:pPr>
                          </w:p>
                        </w:txbxContent>
                      </wps:txbx>
                      <wps:bodyPr lIns="0" tIns="0" rIns="0" bIns="0" upright="1">
                        <a:spAutoFit/>
                      </wps:bodyPr>
                    </wps:wsp>
                  </a:graphicData>
                </a:graphic>
              </wp:anchor>
            </w:drawing>
          </mc:Choice>
          <mc:Fallback>
            <w:pict>
              <v:shape id="_x0000_s1026" o:spid="_x0000_s1026" o:spt="202" type="#_x0000_t202" style="position:absolute;left:0pt;margin-left:185.4pt;margin-top:290.65pt;height:7.7pt;width:15.85pt;mso-position-horizontal-relative:margin;mso-wrap-distance-bottom:0pt;mso-wrap-distance-top:0pt;z-index:-125830144;mso-width-relative:page;mso-height-relative:page;" filled="f" stroked="f" coordsize="21600,21600" o:gfxdata="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T&#10;KJSa2QAAAAsBAAAPAAAAAAAAAAEAIAAAACIAAABkcnMvZG93bnJldi54bWxQSwECFAAUAAAACACH&#10;TuJAU1O3nbEBAABFAwAADgAAAAAAAAABACAAAAAoAQAAZHJzL2Uyb0RvYy54bWxQSwUGAAAAAAYA&#10;BgBZAQAASwUAAAAA&#10;">
                <v:fill on="f" focussize="0,0"/>
                <v:stroke on="f"/>
                <v:imagedata o:title=""/>
                <o:lock v:ext="edit" aspectratio="f"/>
                <v:textbox inset="0mm,0mm,0mm,0mm" style="mso-fit-shape-to-text:t;">
                  <w:txbxContent>
                    <w:p>
                      <w:pPr>
                        <w:pStyle w:val="21"/>
                        <w:keepNext w:val="0"/>
                        <w:keepLines w:val="0"/>
                        <w:widowControl w:val="0"/>
                        <w:shd w:val="clear" w:color="auto" w:fill="auto"/>
                        <w:bidi w:val="0"/>
                        <w:spacing w:before="0" w:after="0" w:line="100" w:lineRule="exact"/>
                        <w:ind w:left="0" w:right="0" w:firstLine="0"/>
                        <w:jc w:val="left"/>
                      </w:pPr>
                    </w:p>
                  </w:txbxContent>
                </v:textbox>
                <w10:wrap type="topAndBottom"/>
              </v:shape>
            </w:pict>
          </mc:Fallback>
        </mc:AlternateContent>
      </w:r>
      <w:r>
        <w:rPr>
          <w:rFonts w:hint="eastAsia" w:ascii="Times New Roman" w:hAnsi="Times New Roman" w:eastAsia="仿宋_GB2312" w:cs="Times New Roman"/>
          <w:spacing w:val="0"/>
          <w:kern w:val="2"/>
          <w:sz w:val="32"/>
          <w:szCs w:val="32"/>
          <w:u w:val="none"/>
          <w:lang w:val="zh-CN" w:eastAsia="zh-CN" w:bidi="ar-SA"/>
        </w:rPr>
        <w:t>（三）加强建筑市场监管信息公开。完善建筑市场监管与诚信一体化平台的使用，加快推进企业、个人、项目数据与日常监管工作联动，有关信息及时公开</w:t>
      </w:r>
      <w:r>
        <w:rPr>
          <w:rFonts w:hint="eastAsia" w:ascii="Times New Roman" w:hAnsi="Times New Roman" w:eastAsia="仿宋_GB2312" w:cs="Times New Roman"/>
          <w:spacing w:val="0"/>
          <w:kern w:val="2"/>
          <w:sz w:val="32"/>
          <w:szCs w:val="32"/>
          <w:u w:val="none"/>
          <w:lang w:val="en-US" w:eastAsia="zh-CN" w:bidi="ar-SA"/>
        </w:rPr>
        <w:t>3条</w:t>
      </w:r>
      <w:r>
        <w:rPr>
          <w:rFonts w:hint="eastAsia" w:ascii="Times New Roman" w:hAnsi="Times New Roman" w:eastAsia="仿宋_GB2312" w:cs="Times New Roman"/>
          <w:spacing w:val="0"/>
          <w:kern w:val="2"/>
          <w:sz w:val="32"/>
          <w:szCs w:val="32"/>
          <w:u w:val="none"/>
          <w:lang w:val="zh-CN" w:eastAsia="zh-CN" w:bidi="ar-SA"/>
        </w:rPr>
        <w:t>。健全建筑施工安全监管执法信息公示制度，及时公开执法检查、生产安全事故调查处理等相关信息。</w:t>
      </w:r>
      <w:r>
        <w:drawing>
          <wp:inline distT="0" distB="0" distL="114300" distR="114300">
            <wp:extent cx="5266690" cy="3011805"/>
            <wp:effectExtent l="0" t="0" r="10160"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266690" cy="3011805"/>
                    </a:xfrm>
                    <a:prstGeom prst="rect">
                      <a:avLst/>
                    </a:prstGeom>
                    <a:noFill/>
                    <a:ln w="9525">
                      <a:noFill/>
                    </a:ln>
                  </pic:spPr>
                </pic:pic>
              </a:graphicData>
            </a:graphic>
          </wp:inline>
        </w:drawing>
      </w:r>
    </w:p>
    <w:p>
      <w:pPr>
        <w:pStyle w:val="6"/>
        <w:keepNext w:val="0"/>
        <w:keepLines w:val="0"/>
        <w:pageBreakBefore w:val="0"/>
        <w:widowControl w:val="0"/>
        <w:shd w:val="clear" w:color="auto" w:fill="auto"/>
        <w:tabs>
          <w:tab w:val="left" w:pos="1620"/>
        </w:tabs>
        <w:kinsoku/>
        <w:wordWrap/>
        <w:overflowPunct/>
        <w:topLinePunct w:val="0"/>
        <w:autoSpaceDE/>
        <w:autoSpaceDN/>
        <w:bidi w:val="0"/>
        <w:adjustRightInd/>
        <w:snapToGrid/>
        <w:spacing w:before="0" w:after="136" w:line="560" w:lineRule="exact"/>
        <w:ind w:left="0"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（四）完善工程质量治理信息公开。开展安全月集中宣传活动，发放宣传材料</w:t>
      </w:r>
      <w:r>
        <w:rPr>
          <w:rFonts w:hint="eastAsia" w:ascii="Times New Roman" w:hAnsi="Times New Roman" w:eastAsia="仿宋_GB2312" w:cs="Times New Roman"/>
          <w:spacing w:val="0"/>
          <w:kern w:val="2"/>
          <w:sz w:val="32"/>
          <w:szCs w:val="32"/>
          <w:u w:val="none"/>
          <w:lang w:val="en-US" w:eastAsia="zh-CN" w:bidi="ar-SA"/>
        </w:rPr>
        <w:t>1</w:t>
      </w:r>
      <w:r>
        <w:rPr>
          <w:rFonts w:hint="eastAsia" w:ascii="Times New Roman" w:hAnsi="Times New Roman" w:eastAsia="仿宋_GB2312" w:cs="Times New Roman"/>
          <w:spacing w:val="0"/>
          <w:kern w:val="2"/>
          <w:sz w:val="32"/>
          <w:szCs w:val="32"/>
          <w:u w:val="none"/>
          <w:lang w:val="zh-CN" w:eastAsia="zh-CN" w:bidi="ar-SA"/>
        </w:rPr>
        <w:t>000佘份。高度重视政策出台解读工作，年内主动公开工程质量安全相关政府信息</w:t>
      </w:r>
      <w:r>
        <w:rPr>
          <w:rFonts w:hint="eastAsia" w:ascii="Times New Roman" w:hAnsi="Times New Roman" w:eastAsia="仿宋_GB2312" w:cs="Times New Roman"/>
          <w:spacing w:val="0"/>
          <w:kern w:val="2"/>
          <w:sz w:val="32"/>
          <w:szCs w:val="32"/>
          <w:u w:val="none"/>
          <w:lang w:val="en-US" w:eastAsia="zh-CN" w:bidi="ar-SA"/>
        </w:rPr>
        <w:t>3</w:t>
      </w:r>
      <w:r>
        <w:rPr>
          <w:rFonts w:hint="eastAsia" w:ascii="Times New Roman" w:hAnsi="Times New Roman" w:eastAsia="仿宋_GB2312" w:cs="Times New Roman"/>
          <w:spacing w:val="0"/>
          <w:kern w:val="2"/>
          <w:sz w:val="32"/>
          <w:szCs w:val="32"/>
          <w:u w:val="none"/>
          <w:lang w:val="zh-CN" w:eastAsia="zh-CN" w:bidi="ar-SA"/>
        </w:rPr>
        <w:t>条。</w:t>
      </w:r>
    </w:p>
    <w:p>
      <w:pPr>
        <w:pStyle w:val="6"/>
        <w:keepNext w:val="0"/>
        <w:keepLines w:val="0"/>
        <w:pageBreakBefore w:val="0"/>
        <w:widowControl w:val="0"/>
        <w:shd w:val="clear" w:color="auto" w:fill="auto"/>
        <w:tabs>
          <w:tab w:val="left" w:pos="1620"/>
        </w:tabs>
        <w:kinsoku/>
        <w:wordWrap/>
        <w:overflowPunct/>
        <w:topLinePunct w:val="0"/>
        <w:autoSpaceDE/>
        <w:autoSpaceDN/>
        <w:bidi w:val="0"/>
        <w:adjustRightInd/>
        <w:snapToGrid/>
        <w:spacing w:before="0" w:after="136" w:line="240" w:lineRule="auto"/>
        <w:ind w:left="0" w:right="0" w:firstLine="720" w:firstLineChars="200"/>
        <w:jc w:val="left"/>
        <w:textAlignment w:val="auto"/>
        <w:rPr>
          <w:rFonts w:hint="eastAsia" w:ascii="Times New Roman" w:hAnsi="Times New Roman" w:eastAsia="仿宋_GB2312" w:cs="Times New Roman"/>
          <w:spacing w:val="0"/>
          <w:kern w:val="2"/>
          <w:sz w:val="32"/>
          <w:szCs w:val="32"/>
          <w:u w:val="none"/>
          <w:lang w:val="en-US" w:eastAsia="zh-CN" w:bidi="ar-SA"/>
        </w:rPr>
      </w:pPr>
      <w:r>
        <w:drawing>
          <wp:inline distT="0" distB="0" distL="114300" distR="114300">
            <wp:extent cx="5268595" cy="3855720"/>
            <wp:effectExtent l="0" t="0" r="825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8595" cy="3855720"/>
                    </a:xfrm>
                    <a:prstGeom prst="rect">
                      <a:avLst/>
                    </a:prstGeom>
                    <a:noFill/>
                    <a:ln w="9525">
                      <a:noFill/>
                    </a:ln>
                  </pic:spPr>
                </pic:pic>
              </a:graphicData>
            </a:graphic>
          </wp:inline>
        </w:drawing>
      </w:r>
    </w:p>
    <w:p>
      <w:pPr>
        <w:pStyle w:val="6"/>
        <w:keepNext w:val="0"/>
        <w:keepLines w:val="0"/>
        <w:pageBreakBefore w:val="0"/>
        <w:widowControl w:val="0"/>
        <w:numPr>
          <w:ilvl w:val="0"/>
          <w:numId w:val="2"/>
        </w:numPr>
        <w:shd w:val="clear" w:color="auto" w:fill="auto"/>
        <w:tabs>
          <w:tab w:val="left" w:pos="1620"/>
        </w:tabs>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完善农村危改信息公开。指导各镇办多种渠道加大政策宣传力度，重点利用村级公开栏、村级会议及村委广播等形式向各镇村公开危房改造，定期在临港区官方网站上通报全区农村危改进展情况，督促各镇办做好相关工作。</w:t>
      </w:r>
    </w:p>
    <w:p>
      <w:pPr>
        <w:pStyle w:val="6"/>
        <w:keepNext w:val="0"/>
        <w:keepLines w:val="0"/>
        <w:pageBreakBefore w:val="0"/>
        <w:widowControl w:val="0"/>
        <w:numPr>
          <w:ilvl w:val="0"/>
          <w:numId w:val="0"/>
        </w:numPr>
        <w:shd w:val="clear" w:color="auto" w:fill="auto"/>
        <w:tabs>
          <w:tab w:val="left" w:pos="1620"/>
        </w:tabs>
        <w:kinsoku/>
        <w:wordWrap/>
        <w:overflowPunct/>
        <w:topLinePunct w:val="0"/>
        <w:autoSpaceDE/>
        <w:autoSpaceDN/>
        <w:bidi w:val="0"/>
        <w:adjustRightInd/>
        <w:snapToGrid/>
        <w:spacing w:before="0" w:after="0" w:line="240" w:lineRule="auto"/>
        <w:ind w:right="0" w:rightChars="0"/>
        <w:jc w:val="left"/>
        <w:textAlignment w:val="auto"/>
        <w:rPr>
          <w:rFonts w:hint="eastAsia" w:ascii="Times New Roman" w:hAnsi="Times New Roman" w:eastAsia="仿宋_GB2312" w:cs="Times New Roman"/>
          <w:spacing w:val="0"/>
          <w:kern w:val="2"/>
          <w:sz w:val="32"/>
          <w:szCs w:val="32"/>
          <w:u w:val="none"/>
          <w:lang w:val="en-US" w:eastAsia="zh-CN" w:bidi="ar-SA"/>
        </w:rPr>
      </w:pPr>
      <w:r>
        <w:drawing>
          <wp:inline distT="0" distB="0" distL="114300" distR="114300">
            <wp:extent cx="5273040" cy="3784600"/>
            <wp:effectExtent l="0" t="0" r="381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5273040" cy="3784600"/>
                    </a:xfrm>
                    <a:prstGeom prst="rect">
                      <a:avLst/>
                    </a:prstGeom>
                    <a:noFill/>
                    <a:ln w="9525">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firstLine="320" w:firstLineChars="100"/>
        <w:textAlignment w:val="auto"/>
        <w:outlineLvl w:val="9"/>
        <w:rPr>
          <w:rFonts w:hint="eastAsia" w:ascii="黑体" w:hAnsi="黑体" w:eastAsia="黑体" w:cs="黑体"/>
          <w:spacing w:val="0"/>
          <w:kern w:val="2"/>
          <w:sz w:val="32"/>
          <w:szCs w:val="32"/>
          <w:u w:val="none"/>
          <w:lang w:val="zh-CN" w:eastAsia="zh-CN" w:bidi="ar-SA"/>
        </w:rPr>
      </w:pPr>
      <w:bookmarkStart w:id="2" w:name="bookmark3"/>
      <w:r>
        <w:rPr>
          <w:rFonts w:hint="eastAsia" w:ascii="黑体" w:hAnsi="黑体" w:eastAsia="黑体" w:cs="黑体"/>
          <w:spacing w:val="0"/>
          <w:kern w:val="2"/>
          <w:sz w:val="32"/>
          <w:szCs w:val="32"/>
          <w:u w:val="none"/>
          <w:lang w:val="zh-CN" w:eastAsia="zh-CN" w:bidi="ar-SA"/>
        </w:rPr>
        <w:t>五、主动公开政府信息情况</w:t>
      </w:r>
      <w:bookmarkEnd w:id="2"/>
    </w:p>
    <w:p>
      <w:pPr>
        <w:pStyle w:val="26"/>
        <w:keepNext w:val="0"/>
        <w:keepLines w:val="0"/>
        <w:pageBreakBefore w:val="0"/>
        <w:framePr w:h="4157" w:wrap="notBeside" w:vAnchor="text" w:hAnchor="text" w:xAlign="center" w:y="1"/>
        <w:widowControl w:val="0"/>
        <w:shd w:val="clear" w:color="auto" w:fill="auto"/>
        <w:kinsoku/>
        <w:wordWrap/>
        <w:overflowPunct/>
        <w:topLinePunct w:val="0"/>
        <w:autoSpaceDE/>
        <w:autoSpaceDN/>
        <w:bidi w:val="0"/>
        <w:adjustRightInd/>
        <w:snapToGrid/>
        <w:spacing w:before="0" w:after="0" w:line="560" w:lineRule="exact"/>
        <w:ind w:left="0" w:leftChars="0"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主动公开政府信息情况。201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年，我局主动公开政府信息共计</w:t>
      </w:r>
      <w:r>
        <w:rPr>
          <w:rFonts w:hint="eastAsia" w:ascii="Times New Roman" w:hAnsi="Times New Roman" w:eastAsia="仿宋_GB2312" w:cs="Times New Roman"/>
          <w:spacing w:val="0"/>
          <w:kern w:val="2"/>
          <w:sz w:val="32"/>
          <w:szCs w:val="32"/>
          <w:u w:val="none"/>
          <w:lang w:val="en-US" w:eastAsia="zh-CN" w:bidi="ar-SA"/>
        </w:rPr>
        <w:t>106</w:t>
      </w:r>
      <w:r>
        <w:rPr>
          <w:rFonts w:hint="eastAsia" w:ascii="Times New Roman" w:hAnsi="Times New Roman" w:eastAsia="仿宋_GB2312" w:cs="Times New Roman"/>
          <w:spacing w:val="0"/>
          <w:kern w:val="2"/>
          <w:sz w:val="32"/>
          <w:szCs w:val="32"/>
          <w:u w:val="none"/>
          <w:lang w:val="zh-CN" w:eastAsia="zh-CN" w:bidi="ar-SA"/>
        </w:rPr>
        <w:t>条，从内容分类看，机构职能</w:t>
      </w:r>
      <w:r>
        <w:rPr>
          <w:rFonts w:hint="eastAsia" w:ascii="Times New Roman" w:hAnsi="Times New Roman" w:eastAsia="仿宋_GB2312" w:cs="Times New Roman"/>
          <w:spacing w:val="0"/>
          <w:kern w:val="2"/>
          <w:sz w:val="32"/>
          <w:szCs w:val="32"/>
          <w:u w:val="none"/>
          <w:lang w:val="en-US" w:eastAsia="zh-CN" w:bidi="ar-SA"/>
        </w:rPr>
        <w:t>1</w:t>
      </w:r>
      <w:r>
        <w:rPr>
          <w:rFonts w:hint="eastAsia" w:ascii="Times New Roman" w:hAnsi="Times New Roman" w:eastAsia="仿宋_GB2312" w:cs="Times New Roman"/>
          <w:spacing w:val="0"/>
          <w:kern w:val="2"/>
          <w:sz w:val="32"/>
          <w:szCs w:val="32"/>
          <w:u w:val="none"/>
          <w:lang w:val="zh-CN" w:eastAsia="zh-CN" w:bidi="ar-SA"/>
        </w:rPr>
        <w:t>条，信息公开指南</w:t>
      </w:r>
      <w:r>
        <w:rPr>
          <w:rFonts w:hint="eastAsia" w:ascii="Times New Roman" w:hAnsi="Times New Roman" w:eastAsia="仿宋_GB2312" w:cs="Times New Roman"/>
          <w:spacing w:val="0"/>
          <w:kern w:val="2"/>
          <w:sz w:val="32"/>
          <w:szCs w:val="32"/>
          <w:u w:val="none"/>
          <w:lang w:val="en-US" w:eastAsia="zh-CN" w:bidi="ar-SA"/>
        </w:rPr>
        <w:t>1条，</w:t>
      </w:r>
      <w:r>
        <w:rPr>
          <w:rFonts w:hint="eastAsia" w:ascii="Times New Roman" w:hAnsi="Times New Roman" w:eastAsia="仿宋_GB2312" w:cs="Times New Roman"/>
          <w:spacing w:val="0"/>
          <w:kern w:val="2"/>
          <w:sz w:val="32"/>
          <w:szCs w:val="32"/>
          <w:u w:val="none"/>
          <w:lang w:val="zh-CN" w:eastAsia="zh-CN" w:bidi="ar-SA"/>
        </w:rPr>
        <w:t>计划规划</w:t>
      </w:r>
      <w:r>
        <w:rPr>
          <w:rFonts w:hint="eastAsia" w:ascii="Times New Roman" w:hAnsi="Times New Roman" w:eastAsia="仿宋_GB2312" w:cs="Times New Roman"/>
          <w:spacing w:val="0"/>
          <w:kern w:val="2"/>
          <w:sz w:val="32"/>
          <w:szCs w:val="32"/>
          <w:u w:val="none"/>
          <w:lang w:val="en-US" w:eastAsia="zh-CN" w:bidi="ar-SA"/>
        </w:rPr>
        <w:t>1条，</w:t>
      </w:r>
      <w:r>
        <w:rPr>
          <w:rFonts w:hint="eastAsia" w:ascii="Times New Roman" w:hAnsi="Times New Roman" w:eastAsia="仿宋_GB2312" w:cs="Times New Roman"/>
          <w:spacing w:val="0"/>
          <w:kern w:val="2"/>
          <w:sz w:val="32"/>
          <w:szCs w:val="32"/>
          <w:u w:val="none"/>
          <w:lang w:val="zh-CN" w:eastAsia="zh-CN" w:bidi="ar-SA"/>
        </w:rPr>
        <w:t>政策法规及解读</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条，业务工作</w:t>
      </w:r>
      <w:r>
        <w:rPr>
          <w:rFonts w:hint="eastAsia" w:ascii="Times New Roman" w:hAnsi="Times New Roman" w:eastAsia="仿宋_GB2312" w:cs="Times New Roman"/>
          <w:spacing w:val="0"/>
          <w:kern w:val="2"/>
          <w:sz w:val="32"/>
          <w:szCs w:val="32"/>
          <w:u w:val="none"/>
          <w:lang w:val="en-US" w:eastAsia="zh-CN" w:bidi="ar-SA"/>
        </w:rPr>
        <w:t>95</w:t>
      </w:r>
      <w:r>
        <w:rPr>
          <w:rFonts w:hint="eastAsia" w:ascii="Times New Roman" w:hAnsi="Times New Roman" w:eastAsia="仿宋_GB2312" w:cs="Times New Roman"/>
          <w:spacing w:val="0"/>
          <w:kern w:val="2"/>
          <w:sz w:val="32"/>
          <w:szCs w:val="32"/>
          <w:u w:val="none"/>
          <w:lang w:val="zh-CN" w:eastAsia="zh-CN" w:bidi="ar-SA"/>
        </w:rPr>
        <w:t>条。</w:t>
      </w:r>
    </w:p>
    <w:p>
      <w:pPr>
        <w:pStyle w:val="26"/>
        <w:keepNext w:val="0"/>
        <w:keepLines w:val="0"/>
        <w:pageBreakBefore w:val="0"/>
        <w:framePr w:h="4157" w:wrap="notBeside" w:vAnchor="text" w:hAnchor="text" w:xAlign="center" w:y="1"/>
        <w:widowControl w:val="0"/>
        <w:shd w:val="clear" w:color="auto" w:fill="auto"/>
        <w:kinsoku/>
        <w:wordWrap/>
        <w:overflowPunct/>
        <w:topLinePunct w:val="0"/>
        <w:autoSpaceDE/>
        <w:autoSpaceDN/>
        <w:bidi w:val="0"/>
        <w:adjustRightInd/>
        <w:snapToGrid/>
        <w:spacing w:before="0" w:after="0" w:line="560" w:lineRule="exact"/>
        <w:ind w:left="0" w:leftChars="0"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从不同渠道和方式共公开信息</w:t>
      </w:r>
      <w:r>
        <w:rPr>
          <w:rFonts w:hint="eastAsia" w:ascii="Times New Roman" w:hAnsi="Times New Roman" w:eastAsia="仿宋_GB2312" w:cs="Times New Roman"/>
          <w:spacing w:val="0"/>
          <w:kern w:val="2"/>
          <w:sz w:val="32"/>
          <w:szCs w:val="32"/>
          <w:u w:val="none"/>
          <w:lang w:val="en-US" w:eastAsia="zh-CN" w:bidi="ar-SA"/>
        </w:rPr>
        <w:t>96</w:t>
      </w:r>
      <w:r>
        <w:rPr>
          <w:rFonts w:hint="eastAsia" w:ascii="Times New Roman" w:hAnsi="Times New Roman" w:eastAsia="仿宋_GB2312" w:cs="Times New Roman"/>
          <w:spacing w:val="0"/>
          <w:kern w:val="2"/>
          <w:sz w:val="32"/>
          <w:szCs w:val="32"/>
          <w:u w:val="none"/>
          <w:lang w:val="zh-CN" w:eastAsia="zh-CN" w:bidi="ar-SA"/>
        </w:rPr>
        <w:t>，通过政府网站公开信息</w:t>
      </w:r>
      <w:r>
        <w:rPr>
          <w:rFonts w:hint="eastAsia" w:ascii="Times New Roman" w:hAnsi="Times New Roman" w:eastAsia="仿宋_GB2312" w:cs="Times New Roman"/>
          <w:spacing w:val="0"/>
          <w:kern w:val="2"/>
          <w:sz w:val="32"/>
          <w:szCs w:val="32"/>
          <w:u w:val="none"/>
          <w:lang w:val="en-US" w:eastAsia="zh-CN" w:bidi="ar-SA"/>
        </w:rPr>
        <w:t>96</w:t>
      </w:r>
      <w:r>
        <w:rPr>
          <w:rFonts w:hint="eastAsia" w:ascii="Times New Roman" w:hAnsi="Times New Roman" w:eastAsia="仿宋_GB2312" w:cs="Times New Roman"/>
          <w:spacing w:val="0"/>
          <w:kern w:val="2"/>
          <w:sz w:val="32"/>
          <w:szCs w:val="32"/>
          <w:u w:val="none"/>
          <w:lang w:val="zh-CN" w:eastAsia="zh-CN" w:bidi="ar-SA"/>
        </w:rPr>
        <w:t>条，通过政务微博公开信息</w:t>
      </w:r>
      <w:r>
        <w:rPr>
          <w:rFonts w:hint="eastAsia" w:ascii="Times New Roman" w:hAnsi="Times New Roman" w:eastAsia="仿宋_GB2312" w:cs="Times New Roman"/>
          <w:spacing w:val="0"/>
          <w:kern w:val="2"/>
          <w:sz w:val="32"/>
          <w:szCs w:val="32"/>
          <w:u w:val="none"/>
          <w:lang w:val="en-US" w:eastAsia="zh-CN" w:bidi="ar-SA"/>
        </w:rPr>
        <w:t>10</w:t>
      </w:r>
      <w:r>
        <w:rPr>
          <w:rFonts w:hint="eastAsia" w:ascii="Times New Roman" w:hAnsi="Times New Roman" w:eastAsia="仿宋_GB2312" w:cs="Times New Roman"/>
          <w:spacing w:val="0"/>
          <w:kern w:val="2"/>
          <w:sz w:val="32"/>
          <w:szCs w:val="32"/>
          <w:u w:val="none"/>
          <w:lang w:val="zh-CN" w:eastAsia="zh-CN" w:bidi="ar-SA"/>
        </w:rPr>
        <w:t>条，无其他方式公开政府信息。</w:t>
      </w:r>
    </w:p>
    <w:p>
      <w:pPr>
        <w:keepNext w:val="0"/>
        <w:keepLines w:val="0"/>
        <w:pageBreakBefore w:val="0"/>
        <w:framePr w:h="4157" w:wrap="notBeside" w:vAnchor="text" w:hAnchor="text" w:xAlign="center" w:y="1"/>
        <w:widowControl w:val="0"/>
        <w:numPr>
          <w:ilvl w:val="0"/>
          <w:numId w:val="0"/>
        </w:numPr>
        <w:pBdr>
          <w:top w:val="none" w:sz="0" w:space="0"/>
          <w:left w:val="none" w:sz="0" w:space="0"/>
          <w:bottom w:val="none" w:sz="0" w:space="0"/>
          <w:right w:val="none" w:sz="0" w:space="0"/>
        </w:pBdr>
        <w:kinsoku/>
        <w:wordWrap/>
        <w:overflowPunct/>
        <w:topLinePunct w:val="0"/>
        <w:autoSpaceDE/>
        <w:autoSpaceDN/>
        <w:bidi w:val="0"/>
        <w:adjustRightInd/>
        <w:snapToGrid/>
        <w:spacing w:line="560" w:lineRule="exact"/>
        <w:ind w:leftChars="200" w:right="0" w:rightChars="0" w:firstLine="320" w:firstLineChars="100"/>
        <w:textAlignment w:val="auto"/>
        <w:outlineLvl w:val="9"/>
        <w:rPr>
          <w:rFonts w:hint="eastAsia" w:ascii="黑体" w:hAnsi="黑体" w:eastAsia="黑体" w:cs="黑体"/>
          <w:spacing w:val="0"/>
          <w:kern w:val="2"/>
          <w:sz w:val="32"/>
          <w:szCs w:val="32"/>
          <w:u w:val="none"/>
          <w:lang w:val="zh-CN" w:eastAsia="zh-CN" w:bidi="ar-SA"/>
        </w:rPr>
      </w:pPr>
      <w:r>
        <w:rPr>
          <w:rFonts w:hint="eastAsia" w:ascii="黑体" w:hAnsi="黑体" w:eastAsia="黑体" w:cs="黑体"/>
          <w:spacing w:val="0"/>
          <w:kern w:val="2"/>
          <w:sz w:val="32"/>
          <w:szCs w:val="32"/>
          <w:u w:val="none"/>
          <w:lang w:val="zh-CN" w:eastAsia="zh-CN" w:bidi="ar-SA"/>
        </w:rPr>
        <w:t>六、政府信息公开申请的办理情况</w:t>
      </w:r>
    </w:p>
    <w:p>
      <w:pPr>
        <w:pStyle w:val="26"/>
        <w:keepNext w:val="0"/>
        <w:keepLines w:val="0"/>
        <w:pageBreakBefore w:val="0"/>
        <w:framePr w:h="4157" w:wrap="notBeside" w:vAnchor="text" w:hAnchor="text" w:xAlign="center" w:y="1"/>
        <w:widowControl w:val="0"/>
        <w:shd w:val="clear" w:color="auto" w:fill="auto"/>
        <w:kinsoku/>
        <w:wordWrap/>
        <w:overflowPunct/>
        <w:topLinePunct w:val="0"/>
        <w:autoSpaceDE/>
        <w:autoSpaceDN/>
        <w:bidi w:val="0"/>
        <w:adjustRightInd/>
        <w:snapToGrid/>
        <w:spacing w:before="0" w:after="0" w:line="560" w:lineRule="exact"/>
        <w:ind w:left="0" w:leftChars="0" w:right="0" w:firstLine="640" w:firstLineChars="200"/>
        <w:jc w:val="left"/>
        <w:textAlignment w:val="auto"/>
        <w:rPr>
          <w:rFonts w:hint="eastAsia" w:ascii="Times New Roman" w:hAnsi="Times New Roman" w:eastAsia="仿宋_GB2312" w:cs="Times New Roman"/>
          <w:spacing w:val="0"/>
          <w:kern w:val="2"/>
          <w:sz w:val="32"/>
          <w:szCs w:val="32"/>
          <w:u w:val="none"/>
          <w:lang w:val="en-US" w:eastAsia="zh-CN" w:bidi="ar-SA"/>
        </w:rPr>
      </w:pPr>
      <w:r>
        <w:rPr>
          <w:rFonts w:hint="eastAsia" w:ascii="Times New Roman" w:hAnsi="Times New Roman" w:eastAsia="仿宋_GB2312" w:cs="Times New Roman"/>
          <w:spacing w:val="0"/>
          <w:kern w:val="2"/>
          <w:sz w:val="32"/>
          <w:szCs w:val="32"/>
          <w:u w:val="none"/>
          <w:lang w:val="en-US" w:eastAsia="zh-CN" w:bidi="ar-SA"/>
        </w:rPr>
        <w:t>2018年我局未收到</w:t>
      </w:r>
      <w:r>
        <w:rPr>
          <w:rFonts w:hint="eastAsia" w:ascii="Times New Roman" w:hAnsi="Times New Roman" w:eastAsia="仿宋_GB2312" w:cs="Times New Roman"/>
          <w:spacing w:val="0"/>
          <w:kern w:val="2"/>
          <w:sz w:val="32"/>
          <w:szCs w:val="32"/>
          <w:u w:val="none"/>
          <w:lang w:val="zh-CN" w:eastAsia="zh-CN" w:bidi="ar-SA"/>
        </w:rPr>
        <w:t>政府信息公开申请。</w:t>
      </w:r>
    </w:p>
    <w:p>
      <w:pPr>
        <w:pStyle w:val="11"/>
        <w:keepNext w:val="0"/>
        <w:keepLines w:val="0"/>
        <w:pageBreakBefore w:val="0"/>
        <w:widowControl w:val="0"/>
        <w:numPr>
          <w:ilvl w:val="0"/>
          <w:numId w:val="3"/>
        </w:numPr>
        <w:shd w:val="clear" w:color="auto" w:fill="auto"/>
        <w:tabs>
          <w:tab w:val="left" w:pos="1335"/>
        </w:tabs>
        <w:kinsoku/>
        <w:wordWrap/>
        <w:overflowPunct/>
        <w:topLinePunct w:val="0"/>
        <w:autoSpaceDE/>
        <w:autoSpaceDN/>
        <w:bidi w:val="0"/>
        <w:adjustRightInd/>
        <w:snapToGrid/>
        <w:spacing w:before="0" w:after="0" w:line="560" w:lineRule="exact"/>
        <w:ind w:right="0" w:firstLine="640" w:firstLineChars="200"/>
        <w:jc w:val="both"/>
        <w:textAlignment w:val="auto"/>
        <w:rPr>
          <w:rFonts w:hint="eastAsia" w:ascii="黑体" w:hAnsi="黑体" w:eastAsia="黑体" w:cs="黑体"/>
          <w:b w:val="0"/>
          <w:bCs w:val="0"/>
          <w:spacing w:val="0"/>
          <w:kern w:val="2"/>
          <w:sz w:val="32"/>
          <w:szCs w:val="32"/>
          <w:u w:val="none"/>
          <w:lang w:val="zh-CN" w:eastAsia="zh-CN" w:bidi="ar-SA"/>
        </w:rPr>
      </w:pPr>
      <w:r>
        <w:rPr>
          <w:rFonts w:hint="eastAsia" w:ascii="黑体" w:hAnsi="黑体" w:eastAsia="黑体" w:cs="黑体"/>
          <w:b w:val="0"/>
          <w:bCs w:val="0"/>
          <w:spacing w:val="0"/>
          <w:kern w:val="2"/>
          <w:sz w:val="32"/>
          <w:szCs w:val="32"/>
          <w:u w:val="none"/>
          <w:lang w:val="zh-CN" w:eastAsia="zh-CN" w:bidi="ar-SA"/>
        </w:rPr>
        <w:t>政府信息公开的收费及减免情况</w:t>
      </w:r>
    </w:p>
    <w:p>
      <w:pPr>
        <w:pStyle w:val="11"/>
        <w:keepNext w:val="0"/>
        <w:keepLines w:val="0"/>
        <w:pageBreakBefore w:val="0"/>
        <w:widowControl w:val="0"/>
        <w:numPr>
          <w:numId w:val="0"/>
        </w:numPr>
        <w:shd w:val="clear" w:color="auto" w:fill="auto"/>
        <w:tabs>
          <w:tab w:val="left" w:pos="1335"/>
        </w:tabs>
        <w:kinsoku/>
        <w:wordWrap/>
        <w:overflowPunct/>
        <w:topLinePunct w:val="0"/>
        <w:autoSpaceDE/>
        <w:autoSpaceDN/>
        <w:bidi w:val="0"/>
        <w:adjustRightInd/>
        <w:snapToGrid/>
        <w:spacing w:before="0" w:after="0" w:line="560" w:lineRule="exact"/>
        <w:ind w:right="0" w:rightChars="0" w:firstLine="640" w:firstLineChars="200"/>
        <w:jc w:val="both"/>
        <w:textAlignment w:val="auto"/>
        <w:rPr>
          <w:rFonts w:hint="eastAsia" w:ascii="Times New Roman" w:hAnsi="Times New Roman" w:eastAsia="仿宋_GB2312" w:cs="Times New Roman"/>
          <w:b w:val="0"/>
          <w:bCs w:val="0"/>
          <w:spacing w:val="0"/>
          <w:kern w:val="2"/>
          <w:sz w:val="32"/>
          <w:szCs w:val="32"/>
          <w:u w:val="none"/>
          <w:lang w:val="zh-CN" w:eastAsia="zh-CN" w:bidi="ar-SA"/>
        </w:rPr>
      </w:pPr>
      <w:r>
        <w:rPr>
          <w:rFonts w:hint="eastAsia" w:ascii="Times New Roman" w:hAnsi="Times New Roman" w:eastAsia="仿宋_GB2312" w:cs="Times New Roman"/>
          <w:b w:val="0"/>
          <w:bCs w:val="0"/>
          <w:spacing w:val="0"/>
          <w:kern w:val="2"/>
          <w:sz w:val="32"/>
          <w:szCs w:val="32"/>
          <w:u w:val="none"/>
          <w:lang w:val="en-US" w:eastAsia="zh-CN" w:bidi="ar-SA"/>
        </w:rPr>
        <w:t>2018年我局未发生</w:t>
      </w:r>
      <w:r>
        <w:rPr>
          <w:rFonts w:hint="eastAsia" w:ascii="Times New Roman" w:hAnsi="Times New Roman" w:eastAsia="仿宋_GB2312" w:cs="Times New Roman"/>
          <w:b w:val="0"/>
          <w:bCs w:val="0"/>
          <w:spacing w:val="0"/>
          <w:kern w:val="2"/>
          <w:sz w:val="32"/>
          <w:szCs w:val="32"/>
          <w:u w:val="none"/>
          <w:lang w:val="zh-CN" w:eastAsia="zh-CN" w:bidi="ar-SA"/>
        </w:rPr>
        <w:t>政府信息公开的收费及减免。</w:t>
      </w:r>
    </w:p>
    <w:p>
      <w:pPr>
        <w:pStyle w:val="11"/>
        <w:keepNext w:val="0"/>
        <w:keepLines w:val="0"/>
        <w:pageBreakBefore w:val="0"/>
        <w:widowControl w:val="0"/>
        <w:numPr>
          <w:ilvl w:val="0"/>
          <w:numId w:val="3"/>
        </w:numPr>
        <w:shd w:val="clear" w:color="auto" w:fill="auto"/>
        <w:tabs>
          <w:tab w:val="left" w:pos="1335"/>
        </w:tabs>
        <w:kinsoku/>
        <w:wordWrap/>
        <w:overflowPunct/>
        <w:topLinePunct w:val="0"/>
        <w:autoSpaceDE/>
        <w:autoSpaceDN/>
        <w:bidi w:val="0"/>
        <w:adjustRightInd/>
        <w:snapToGrid/>
        <w:spacing w:before="0" w:after="0" w:line="560" w:lineRule="exact"/>
        <w:ind w:left="0" w:leftChars="0" w:right="0" w:firstLine="640" w:firstLineChars="200"/>
        <w:jc w:val="both"/>
        <w:textAlignment w:val="auto"/>
        <w:rPr>
          <w:rFonts w:hint="eastAsia" w:ascii="黑体" w:hAnsi="黑体" w:eastAsia="黑体" w:cs="黑体"/>
          <w:b w:val="0"/>
          <w:bCs w:val="0"/>
          <w:spacing w:val="0"/>
          <w:kern w:val="2"/>
          <w:sz w:val="32"/>
          <w:szCs w:val="32"/>
          <w:u w:val="none"/>
          <w:lang w:val="zh-CN" w:eastAsia="zh-CN" w:bidi="ar-SA"/>
        </w:rPr>
      </w:pPr>
      <w:r>
        <w:rPr>
          <w:rFonts w:hint="eastAsia" w:ascii="黑体" w:hAnsi="黑体" w:eastAsia="黑体" w:cs="黑体"/>
          <w:b w:val="0"/>
          <w:bCs w:val="0"/>
          <w:spacing w:val="0"/>
          <w:kern w:val="2"/>
          <w:sz w:val="32"/>
          <w:szCs w:val="32"/>
          <w:u w:val="none"/>
          <w:lang w:val="zh-CN" w:eastAsia="zh-CN" w:bidi="ar-SA"/>
        </w:rPr>
        <w:t>因政府信息公开申请提起行政复议、行政诉讼的情况</w:t>
      </w:r>
    </w:p>
    <w:p>
      <w:pPr>
        <w:pStyle w:val="11"/>
        <w:keepNext w:val="0"/>
        <w:keepLines w:val="0"/>
        <w:pageBreakBefore w:val="0"/>
        <w:widowControl w:val="0"/>
        <w:numPr>
          <w:numId w:val="0"/>
        </w:numPr>
        <w:shd w:val="clear" w:color="auto" w:fill="auto"/>
        <w:tabs>
          <w:tab w:val="left" w:pos="1335"/>
        </w:tabs>
        <w:kinsoku/>
        <w:wordWrap/>
        <w:overflowPunct/>
        <w:topLinePunct w:val="0"/>
        <w:autoSpaceDE/>
        <w:autoSpaceDN/>
        <w:bidi w:val="0"/>
        <w:adjustRightInd/>
        <w:snapToGrid/>
        <w:spacing w:before="0" w:after="0" w:line="560" w:lineRule="exact"/>
        <w:ind w:right="0" w:rightChars="0" w:firstLine="640" w:firstLineChars="200"/>
        <w:jc w:val="both"/>
        <w:textAlignment w:val="auto"/>
        <w:rPr>
          <w:rFonts w:hint="eastAsia" w:ascii="黑体" w:hAnsi="黑体" w:eastAsia="黑体" w:cs="黑体"/>
          <w:b w:val="0"/>
          <w:bCs w:val="0"/>
          <w:spacing w:val="0"/>
          <w:kern w:val="2"/>
          <w:sz w:val="32"/>
          <w:szCs w:val="32"/>
          <w:u w:val="none"/>
          <w:lang w:val="en-US" w:eastAsia="zh-CN" w:bidi="ar-SA"/>
        </w:rPr>
      </w:pPr>
      <w:r>
        <w:rPr>
          <w:rFonts w:hint="eastAsia" w:ascii="Times New Roman" w:hAnsi="Times New Roman" w:eastAsia="仿宋_GB2312" w:cs="Times New Roman"/>
          <w:b w:val="0"/>
          <w:bCs w:val="0"/>
          <w:spacing w:val="0"/>
          <w:kern w:val="2"/>
          <w:sz w:val="32"/>
          <w:szCs w:val="32"/>
          <w:u w:val="none"/>
          <w:lang w:val="en-US" w:eastAsia="zh-CN" w:bidi="ar-SA"/>
        </w:rPr>
        <w:t>2018年我局对政务信息实行依法、合规的公开，未出现</w:t>
      </w:r>
      <w:r>
        <w:rPr>
          <w:rFonts w:hint="eastAsia" w:ascii="Times New Roman" w:hAnsi="Times New Roman" w:eastAsia="仿宋_GB2312" w:cs="Times New Roman"/>
          <w:b w:val="0"/>
          <w:bCs w:val="0"/>
          <w:spacing w:val="0"/>
          <w:kern w:val="2"/>
          <w:sz w:val="32"/>
          <w:szCs w:val="32"/>
          <w:u w:val="none"/>
          <w:lang w:val="zh-CN" w:eastAsia="zh-CN" w:bidi="ar-SA"/>
        </w:rPr>
        <w:t>行政复议、行政诉讼的情况。</w:t>
      </w:r>
    </w:p>
    <w:p>
      <w:pPr>
        <w:pStyle w:val="11"/>
        <w:keepNext w:val="0"/>
        <w:keepLines w:val="0"/>
        <w:pageBreakBefore w:val="0"/>
        <w:widowControl w:val="0"/>
        <w:numPr>
          <w:ilvl w:val="0"/>
          <w:numId w:val="3"/>
        </w:numPr>
        <w:shd w:val="clear" w:color="auto" w:fill="auto"/>
        <w:tabs>
          <w:tab w:val="left" w:pos="1335"/>
        </w:tabs>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rPr>
          <w:rFonts w:hint="eastAsia" w:ascii="黑体" w:hAnsi="黑体" w:eastAsia="黑体" w:cs="黑体"/>
          <w:b w:val="0"/>
          <w:bCs w:val="0"/>
          <w:spacing w:val="0"/>
          <w:kern w:val="2"/>
          <w:sz w:val="32"/>
          <w:szCs w:val="32"/>
          <w:u w:val="none"/>
          <w:lang w:val="en-US" w:eastAsia="zh-CN" w:bidi="ar-SA"/>
        </w:rPr>
      </w:pPr>
      <w:r>
        <w:rPr>
          <w:rFonts w:hint="eastAsia" w:ascii="黑体" w:hAnsi="黑体" w:eastAsia="黑体" w:cs="黑体"/>
          <w:b w:val="0"/>
          <w:bCs w:val="0"/>
          <w:spacing w:val="0"/>
          <w:kern w:val="2"/>
          <w:sz w:val="32"/>
          <w:szCs w:val="32"/>
          <w:u w:val="none"/>
          <w:lang w:val="en-US" w:eastAsia="zh-CN" w:bidi="ar-SA"/>
        </w:rPr>
        <w:t>政府信息公开保密审查及监督检查情况</w:t>
      </w:r>
    </w:p>
    <w:p>
      <w:pPr>
        <w:pStyle w:val="11"/>
        <w:keepNext w:val="0"/>
        <w:keepLines w:val="0"/>
        <w:pageBreakBefore w:val="0"/>
        <w:widowControl w:val="0"/>
        <w:numPr>
          <w:numId w:val="0"/>
        </w:numPr>
        <w:shd w:val="clear" w:color="auto" w:fill="auto"/>
        <w:tabs>
          <w:tab w:val="left" w:pos="1335"/>
        </w:tabs>
        <w:kinsoku/>
        <w:wordWrap/>
        <w:overflowPunct/>
        <w:topLinePunct w:val="0"/>
        <w:autoSpaceDE/>
        <w:autoSpaceDN/>
        <w:bidi w:val="0"/>
        <w:adjustRightInd/>
        <w:snapToGrid/>
        <w:spacing w:before="0" w:after="0" w:line="560" w:lineRule="exact"/>
        <w:ind w:right="0" w:rightChars="0" w:firstLine="640" w:firstLineChars="200"/>
        <w:jc w:val="both"/>
        <w:textAlignment w:val="auto"/>
        <w:rPr>
          <w:rFonts w:hint="eastAsia" w:ascii="Times New Roman" w:hAnsi="Times New Roman" w:eastAsia="仿宋_GB2312" w:cs="Times New Roman"/>
          <w:b w:val="0"/>
          <w:bCs w:val="0"/>
          <w:spacing w:val="0"/>
          <w:kern w:val="2"/>
          <w:sz w:val="32"/>
          <w:szCs w:val="32"/>
          <w:u w:val="none"/>
          <w:lang w:val="en-US" w:eastAsia="zh-CN" w:bidi="ar-SA"/>
        </w:rPr>
      </w:pPr>
      <w:r>
        <w:rPr>
          <w:rFonts w:hint="eastAsia" w:ascii="Times New Roman" w:hAnsi="Times New Roman" w:eastAsia="仿宋_GB2312" w:cs="Times New Roman"/>
          <w:b w:val="0"/>
          <w:bCs w:val="0"/>
          <w:spacing w:val="0"/>
          <w:kern w:val="2"/>
          <w:sz w:val="32"/>
          <w:szCs w:val="32"/>
          <w:u w:val="none"/>
          <w:lang w:val="en-US" w:eastAsia="zh-CN" w:bidi="ar-SA"/>
        </w:rPr>
        <w:t>凡涉及保密的信息一律不得对外公开，对上级要求须在网站及其他媒体公开的信息，我局严格按照保密条例审查，并落实相关程序。</w:t>
      </w:r>
    </w:p>
    <w:p>
      <w:pPr>
        <w:pStyle w:val="11"/>
        <w:keepNext w:val="0"/>
        <w:keepLines w:val="0"/>
        <w:pageBreakBefore w:val="0"/>
        <w:widowControl w:val="0"/>
        <w:numPr>
          <w:numId w:val="0"/>
        </w:numPr>
        <w:shd w:val="clear" w:color="auto" w:fill="auto"/>
        <w:tabs>
          <w:tab w:val="left" w:pos="1335"/>
        </w:tabs>
        <w:kinsoku/>
        <w:wordWrap/>
        <w:overflowPunct/>
        <w:topLinePunct w:val="0"/>
        <w:autoSpaceDE/>
        <w:autoSpaceDN/>
        <w:bidi w:val="0"/>
        <w:adjustRightInd/>
        <w:snapToGrid/>
        <w:spacing w:before="0" w:after="0" w:line="560" w:lineRule="exact"/>
        <w:ind w:right="0" w:rightChars="0" w:firstLine="640" w:firstLineChars="200"/>
        <w:jc w:val="both"/>
        <w:textAlignment w:val="auto"/>
        <w:rPr>
          <w:rFonts w:hint="eastAsia" w:ascii="黑体" w:hAnsi="黑体" w:eastAsia="黑体" w:cs="黑体"/>
          <w:b w:val="0"/>
          <w:bCs w:val="0"/>
          <w:spacing w:val="0"/>
          <w:kern w:val="2"/>
          <w:sz w:val="32"/>
          <w:szCs w:val="32"/>
          <w:u w:val="none"/>
          <w:lang w:val="en-US" w:eastAsia="zh-CN" w:bidi="ar-SA"/>
        </w:rPr>
      </w:pPr>
      <w:r>
        <w:rPr>
          <w:rFonts w:hint="eastAsia" w:ascii="黑体" w:hAnsi="黑体" w:eastAsia="黑体" w:cs="黑体"/>
          <w:b w:val="0"/>
          <w:bCs w:val="0"/>
          <w:spacing w:val="0"/>
          <w:kern w:val="2"/>
          <w:sz w:val="32"/>
          <w:szCs w:val="32"/>
          <w:u w:val="none"/>
          <w:lang w:val="en-US" w:eastAsia="zh-CN" w:bidi="ar-SA"/>
        </w:rPr>
        <w:t>十、</w:t>
      </w:r>
      <w:r>
        <w:rPr>
          <w:rFonts w:hint="eastAsia" w:ascii="黑体" w:hAnsi="黑体" w:eastAsia="黑体" w:cs="黑体"/>
          <w:b w:val="0"/>
          <w:bCs w:val="0"/>
          <w:spacing w:val="0"/>
          <w:kern w:val="2"/>
          <w:sz w:val="32"/>
          <w:szCs w:val="32"/>
          <w:u w:val="none"/>
          <w:lang w:val="zh-CN" w:eastAsia="zh-CN" w:bidi="ar-SA"/>
        </w:rPr>
        <w:t>政务公开存在的主要问题及改进情况</w:t>
      </w: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325" w:line="560" w:lineRule="exact"/>
        <w:ind w:left="0" w:right="0" w:firstLine="640" w:firstLineChars="200"/>
        <w:jc w:val="left"/>
        <w:textAlignment w:val="auto"/>
        <w:rPr>
          <w:rFonts w:hint="eastAsia" w:ascii="Times New Roman" w:hAnsi="Times New Roman" w:eastAsia="仿宋_GB2312" w:cs="Times New Roman"/>
          <w:spacing w:val="0"/>
          <w:kern w:val="2"/>
          <w:sz w:val="32"/>
          <w:szCs w:val="32"/>
          <w:u w:val="none"/>
          <w:lang w:val="zh-CN" w:eastAsia="zh-CN" w:bidi="ar-SA"/>
        </w:rPr>
      </w:pPr>
      <w:r>
        <w:rPr>
          <w:rFonts w:hint="eastAsia" w:ascii="Times New Roman" w:hAnsi="Times New Roman" w:eastAsia="仿宋_GB2312" w:cs="Times New Roman"/>
          <w:spacing w:val="0"/>
          <w:kern w:val="2"/>
          <w:sz w:val="32"/>
          <w:szCs w:val="32"/>
          <w:u w:val="none"/>
          <w:lang w:val="zh-CN" w:eastAsia="zh-CN" w:bidi="ar-SA"/>
        </w:rPr>
        <w:t>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年政务公开工作虽然取得一定成绩，但还存在一些不足。 主要是：政务信息公开目录有待进一步优化；工作人员的业务水 平有待进一步提升。今后区建设局将按照“公开为常态、不公开为例外”的原则， 继续扩大公开范围，拓宽公开渠道，努力做好政务公开工作，维 护好广大人民群众的知情权、监督权。一是加强对政务公开工作的投入，健全日常培训机制，加大政务公开培训力度，提高工作 人员业务水平。二是完善政务公开目录，对信息公开进行汇总分类，进一步规范信息分类，明确各栏目内容，确保信息有序可查，保障政务公开工作的高效性。</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w w:val="95"/>
          <w:position w:val="0"/>
          <w:sz w:val="32"/>
          <w:szCs w:val="32"/>
          <w:lang w:val="zh-CN" w:eastAsia="zh-CN" w:bidi="zh-CN"/>
        </w:rPr>
      </w:pPr>
      <w:r>
        <w:rPr>
          <w:rFonts w:hint="eastAsia" w:ascii="Times New Roman" w:hAnsi="Times New Roman" w:eastAsia="仿宋_GB2312" w:cs="Times New Roman"/>
          <w:spacing w:val="0"/>
          <w:kern w:val="2"/>
          <w:sz w:val="32"/>
          <w:szCs w:val="32"/>
          <w:u w:val="none"/>
          <w:lang w:val="zh-CN" w:eastAsia="zh-CN" w:bidi="ar-SA"/>
        </w:rPr>
        <w:t>附件：201</w:t>
      </w:r>
      <w:r>
        <w:rPr>
          <w:rFonts w:hint="eastAsia" w:ascii="Times New Roman" w:hAnsi="Times New Roman" w:eastAsia="仿宋_GB2312" w:cs="Times New Roman"/>
          <w:spacing w:val="0"/>
          <w:kern w:val="2"/>
          <w:sz w:val="32"/>
          <w:szCs w:val="32"/>
          <w:u w:val="none"/>
          <w:lang w:val="en-US" w:eastAsia="zh-CN" w:bidi="ar-SA"/>
        </w:rPr>
        <w:t>8</w:t>
      </w:r>
      <w:r>
        <w:rPr>
          <w:rFonts w:hint="eastAsia" w:ascii="Times New Roman" w:hAnsi="Times New Roman" w:eastAsia="仿宋_GB2312" w:cs="Times New Roman"/>
          <w:spacing w:val="0"/>
          <w:kern w:val="2"/>
          <w:sz w:val="32"/>
          <w:szCs w:val="32"/>
          <w:u w:val="none"/>
          <w:lang w:val="zh-CN" w:eastAsia="zh-CN" w:bidi="ar-SA"/>
        </w:rPr>
        <w:t>年度政府信息公开工作情况统计表</w:t>
      </w:r>
      <w:bookmarkStart w:id="3" w:name="_GoBack"/>
      <w:bookmarkEnd w:id="3"/>
    </w:p>
    <w:p>
      <w:pPr>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b/>
        </w:rPr>
      </w:pPr>
      <w:r>
        <w:rPr>
          <w:rFonts w:hint="eastAsia" w:asciiTheme="majorEastAsia" w:hAnsiTheme="majorEastAsia" w:eastAsiaTheme="majorEastAsia" w:cstheme="majorEastAsia"/>
          <w:b/>
          <w:bCs w:val="0"/>
          <w:sz w:val="32"/>
          <w:szCs w:val="32"/>
        </w:rPr>
        <w:t>201</w:t>
      </w:r>
      <w:r>
        <w:rPr>
          <w:rFonts w:hint="eastAsia" w:asciiTheme="majorEastAsia" w:hAnsiTheme="majorEastAsia" w:eastAsiaTheme="majorEastAsia" w:cstheme="majorEastAsia"/>
          <w:b/>
          <w:bCs w:val="0"/>
          <w:sz w:val="32"/>
          <w:szCs w:val="32"/>
          <w:lang w:val="en-US" w:eastAsia="zh-CN"/>
        </w:rPr>
        <w:t>8</w:t>
      </w:r>
      <w:r>
        <w:rPr>
          <w:rFonts w:hint="eastAsia" w:asciiTheme="majorEastAsia" w:hAnsiTheme="majorEastAsia" w:eastAsiaTheme="majorEastAsia" w:cstheme="majorEastAsia"/>
          <w:b/>
          <w:bCs w:val="0"/>
          <w:sz w:val="32"/>
          <w:szCs w:val="32"/>
        </w:rPr>
        <w:t>年度政府信息公开工作情况统计表</w:t>
      </w:r>
    </w:p>
    <w:tbl>
      <w:tblPr>
        <w:tblStyle w:val="5"/>
        <w:tblW w:w="9450" w:type="dxa"/>
        <w:jc w:val="center"/>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685"/>
              <w:jc w:val="center"/>
              <w:textAlignment w:val="auto"/>
              <w:outlineLvl w:val="9"/>
              <w:rPr>
                <w:rFonts w:hint="eastAsia"/>
                <w:color w:val="000000"/>
              </w:rPr>
            </w:pPr>
            <w:r>
              <w:rPr>
                <w:rStyle w:val="4"/>
                <w:rFonts w:hint="eastAsia"/>
                <w:color w:val="000000"/>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Style w:val="4"/>
                <w:rFonts w:hint="eastAsia" w:ascii="宋体" w:hAnsi="宋体" w:eastAsia="宋体"/>
                <w:color w:val="000000"/>
                <w:sz w:val="20"/>
                <w:szCs w:val="20"/>
              </w:rPr>
              <w:t>单位</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Style w:val="4"/>
                <w:rFonts w:hint="eastAsia" w:ascii="宋体" w:hAnsi="宋体" w:eastAsia="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r>
              <w:rPr>
                <w:rFonts w:hint="eastAsia" w:ascii="宋体" w:hAnsi="宋体"/>
                <w:color w:val="000000"/>
                <w:sz w:val="20"/>
                <w:szCs w:val="20"/>
                <w:lang w:val="en-US" w:eastAsia="zh-CN"/>
              </w:rPr>
              <w:t>106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（一）主动公开政府信息数</w:t>
            </w:r>
            <w:r>
              <w:rPr>
                <w:rFonts w:hint="eastAsia" w:ascii="宋体" w:hAnsi="宋体" w:eastAsia="宋体"/>
                <w:color w:val="000000"/>
                <w:sz w:val="20"/>
                <w:szCs w:val="20"/>
              </w:rPr>
              <w:t>（不同渠道和方式公开相同信息计1条）</w:t>
            </w:r>
            <w:r>
              <w:rPr>
                <w:rFonts w:ascii="宋体" w:hAnsi="宋体" w:eastAsia="宋体"/>
                <w:color w:val="000000"/>
                <w:sz w:val="20"/>
                <w:szCs w:val="20"/>
              </w:rPr>
              <w:br w:type="textWrapping"/>
            </w:r>
            <w:r>
              <w:rPr>
                <w:rFonts w:ascii="宋体" w:hAnsi="宋体" w:eastAsia="宋体"/>
                <w:color w:val="000000"/>
                <w:sz w:val="20"/>
                <w:szCs w:val="20"/>
              </w:rPr>
              <w:t>　　　　（不同渠道和方式公开相同信息计1条）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仿宋" w:cs="宋体"/>
                <w:color w:val="000000"/>
                <w:sz w:val="24"/>
                <w:lang w:val="en-US" w:eastAsia="zh-CN"/>
              </w:rPr>
            </w:pPr>
            <w:r>
              <w:rPr>
                <w:rFonts w:hint="eastAsia" w:ascii="宋体" w:hAnsi="宋体"/>
                <w:color w:val="000000"/>
                <w:sz w:val="20"/>
                <w:szCs w:val="20"/>
                <w:lang w:val="en-US" w:eastAsia="zh-CN"/>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240" w:firstLineChars="100"/>
              <w:jc w:val="center"/>
              <w:textAlignment w:val="auto"/>
              <w:outlineLvl w:val="9"/>
              <w:rPr>
                <w:rFonts w:hint="eastAsia" w:ascii="宋体" w:hAnsi="宋体" w:eastAsia="仿宋" w:cs="宋体"/>
                <w:color w:val="000000"/>
                <w:sz w:val="24"/>
                <w:lang w:val="en-US" w:eastAsia="zh-CN"/>
              </w:rPr>
            </w:pPr>
            <w:r>
              <w:rPr>
                <w:rFonts w:hint="eastAsia" w:ascii="宋体" w:hAnsi="宋体" w:cs="宋体"/>
                <w:color w:val="000000"/>
                <w:sz w:val="24"/>
                <w:lang w:val="en-US" w:eastAsia="zh-CN"/>
              </w:rPr>
              <w:t>88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tabs>
                <w:tab w:val="left" w:pos="377"/>
              </w:tabs>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仿宋" w:cs="宋体"/>
                <w:color w:val="000000"/>
                <w:sz w:val="24"/>
                <w:lang w:val="en-US" w:eastAsia="zh-CN"/>
              </w:rPr>
            </w:pPr>
            <w:r>
              <w:rPr>
                <w:rFonts w:hint="eastAsia" w:ascii="宋体" w:hAnsi="宋体"/>
                <w:color w:val="000000"/>
                <w:sz w:val="20"/>
                <w:szCs w:val="20"/>
                <w:lang w:val="en-US" w:eastAsia="zh-CN"/>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宋体" w:hAnsi="宋体" w:eastAsia="宋体"/>
                <w:color w:val="000000"/>
                <w:sz w:val="20"/>
                <w:szCs w:val="20"/>
              </w:rPr>
              <w:t>二、回应解读情况（不同方式回应同一热点或舆情计1次）</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685"/>
              <w:jc w:val="center"/>
              <w:textAlignment w:val="auto"/>
              <w:outlineLvl w:val="9"/>
              <w:rPr>
                <w:rFonts w:hint="eastAsia"/>
                <w:color w:val="000000"/>
              </w:rPr>
            </w:pPr>
          </w:p>
        </w:tc>
        <w:tc>
          <w:tcPr>
            <w:tcW w:w="1015" w:type="dxa"/>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400" w:firstLineChars="200"/>
              <w:textAlignment w:val="auto"/>
              <w:outlineLvl w:val="9"/>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仿宋"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仿宋"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仿宋"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2"/>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685"/>
              <w:jc w:val="center"/>
              <w:textAlignment w:val="auto"/>
              <w:outlineLvl w:val="9"/>
              <w:rPr>
                <w:rFonts w:hint="eastAsia"/>
                <w:color w:val="000000"/>
              </w:rPr>
            </w:pPr>
          </w:p>
        </w:tc>
        <w:tc>
          <w:tcPr>
            <w:tcW w:w="1015" w:type="dxa"/>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single" w:color="auto" w:sz="4"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件</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4"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1.按时办结数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六、被举报投诉数量</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件</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ascii="宋体" w:hAnsi="宋体" w:eastAsia="宋体"/>
                <w:color w:val="000000"/>
                <w:sz w:val="20"/>
                <w:szCs w:val="20"/>
              </w:rPr>
              <w:t>　　（一）维持具体行政行为数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ascii="宋体" w:hAnsi="宋体" w:eastAsia="宋体"/>
                <w:color w:val="000000"/>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ascii="宋体" w:hAnsi="宋体" w:eastAsia="宋体"/>
                <w:color w:val="000000"/>
                <w:sz w:val="20"/>
                <w:szCs w:val="20"/>
              </w:rPr>
              <w:t>　　（三）其他情形数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件</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七、向图书馆、档案馆等查阅场所报送信息数</w:t>
            </w:r>
          </w:p>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ascii="宋体" w:hAnsi="宋体" w:eastAsia="宋体"/>
                <w:color w:val="000000"/>
                <w:sz w:val="20"/>
                <w:szCs w:val="20"/>
              </w:rPr>
              <w:t>　　（一）</w:t>
            </w:r>
            <w:r>
              <w:rPr>
                <w:rFonts w:hint="eastAsia" w:ascii="宋体" w:hAnsi="宋体" w:eastAsia="宋体"/>
                <w:color w:val="000000"/>
                <w:sz w:val="20"/>
                <w:szCs w:val="20"/>
              </w:rPr>
              <w:t>纸质文件数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ascii="宋体" w:hAnsi="宋体" w:eastAsia="宋体"/>
                <w:color w:val="000000"/>
                <w:sz w:val="20"/>
                <w:szCs w:val="20"/>
              </w:rPr>
              <w:t>　　（二）</w:t>
            </w:r>
            <w:r>
              <w:rPr>
                <w:rFonts w:hint="eastAsia" w:ascii="宋体" w:hAnsi="宋体" w:eastAsia="宋体"/>
                <w:color w:val="000000"/>
                <w:sz w:val="20"/>
                <w:szCs w:val="20"/>
              </w:rPr>
              <w:t>电子文件数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hint="eastAsia" w:ascii="宋体" w:hAnsi="宋体" w:eastAsia="宋体"/>
                <w:color w:val="000000"/>
                <w:sz w:val="20"/>
                <w:szCs w:val="20"/>
              </w:rPr>
              <w:t>八、开通政府信息公开网站（或设立门户网站信息公开专栏）数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一</w:t>
            </w:r>
            <w:r>
              <w:rPr>
                <w:rFonts w:ascii="宋体" w:hAnsi="宋体" w:eastAsia="宋体"/>
                <w:color w:val="000000"/>
                <w:sz w:val="20"/>
                <w:szCs w:val="20"/>
              </w:rPr>
              <w:t>）</w:t>
            </w:r>
            <w:r>
              <w:rPr>
                <w:rFonts w:hint="eastAsia" w:ascii="宋体" w:hAnsi="宋体" w:eastAsia="宋体"/>
                <w:color w:val="000000"/>
                <w:sz w:val="20"/>
                <w:szCs w:val="20"/>
              </w:rPr>
              <w:t>县（市、区）政府门户网站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二</w:t>
            </w:r>
            <w:r>
              <w:rPr>
                <w:rFonts w:ascii="宋体" w:hAnsi="宋体" w:eastAsia="宋体"/>
                <w:color w:val="000000"/>
                <w:sz w:val="20"/>
                <w:szCs w:val="20"/>
              </w:rPr>
              <w:t>）</w:t>
            </w:r>
            <w:r>
              <w:rPr>
                <w:rFonts w:hint="eastAsia" w:ascii="宋体" w:hAnsi="宋体" w:eastAsia="宋体"/>
                <w:color w:val="000000"/>
                <w:sz w:val="20"/>
                <w:szCs w:val="20"/>
              </w:rPr>
              <w:t>镇政府（街道办事处）门户网站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hint="eastAsia" w:ascii="宋体" w:hAnsi="宋体" w:eastAsia="宋体"/>
                <w:color w:val="000000"/>
                <w:sz w:val="20"/>
                <w:szCs w:val="20"/>
              </w:rPr>
              <w:t>九、市政府公报发行量</w:t>
            </w:r>
          </w:p>
        </w:tc>
        <w:tc>
          <w:tcPr>
            <w:tcW w:w="1002" w:type="dxa"/>
            <w:tcBorders>
              <w:top w:val="single" w:color="auto" w:sz="4" w:space="0"/>
              <w:left w:val="outset" w:color="000000" w:sz="6" w:space="0"/>
              <w:bottom w:val="single" w:color="auto" w:sz="4"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1000" w:firstLineChars="500"/>
              <w:textAlignment w:val="auto"/>
              <w:outlineLvl w:val="9"/>
              <w:rPr>
                <w:rFonts w:ascii="黑体" w:hAnsi="宋体" w:eastAsia="黑体"/>
                <w:color w:val="000000"/>
                <w:sz w:val="20"/>
                <w:szCs w:val="20"/>
              </w:rPr>
            </w:pPr>
            <w:r>
              <w:rPr>
                <w:rFonts w:ascii="黑体" w:hAnsi="宋体" w:eastAsia="黑体"/>
                <w:color w:val="000000"/>
                <w:sz w:val="20"/>
                <w:szCs w:val="20"/>
              </w:rPr>
              <w:t xml:space="preserve">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hint="eastAsia" w:ascii="宋体" w:hAnsi="宋体" w:eastAsia="宋体"/>
                <w:color w:val="000000"/>
                <w:sz w:val="20"/>
                <w:szCs w:val="20"/>
              </w:rPr>
            </w:pPr>
            <w:r>
              <w:rPr>
                <w:rFonts w:ascii="宋体" w:hAnsi="宋体" w:eastAsia="宋体"/>
                <w:color w:val="000000"/>
                <w:sz w:val="20"/>
                <w:szCs w:val="20"/>
              </w:rPr>
              <w:t>（一）</w:t>
            </w:r>
            <w:r>
              <w:rPr>
                <w:rFonts w:hint="eastAsia" w:ascii="宋体" w:hAnsi="宋体" w:eastAsia="宋体"/>
                <w:color w:val="000000"/>
                <w:sz w:val="20"/>
                <w:szCs w:val="20"/>
              </w:rPr>
              <w:t>公报发行期数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黑体" w:hAnsi="宋体" w:eastAsia="黑体"/>
                <w:color w:val="000000"/>
                <w:sz w:val="20"/>
                <w:szCs w:val="20"/>
              </w:rPr>
            </w:pPr>
            <w:r>
              <w:rPr>
                <w:rFonts w:hint="eastAsia" w:ascii="黑体" w:hAnsi="宋体" w:eastAsia="黑体"/>
                <w:color w:val="000000"/>
                <w:sz w:val="20"/>
                <w:szCs w:val="20"/>
              </w:rPr>
              <w:t>期</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1000" w:firstLineChars="50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（二）公报发行总份数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黑体" w:hAnsi="宋体" w:eastAsia="黑体"/>
                <w:color w:val="000000"/>
                <w:sz w:val="20"/>
                <w:szCs w:val="20"/>
              </w:rPr>
            </w:pPr>
            <w:r>
              <w:rPr>
                <w:rFonts w:hint="eastAsia" w:ascii="黑体" w:hAnsi="宋体" w:eastAsia="黑体"/>
                <w:color w:val="000000"/>
                <w:sz w:val="20"/>
                <w:szCs w:val="20"/>
              </w:rPr>
              <w:t>份</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1000" w:firstLineChars="50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hint="eastAsia" w:ascii="宋体" w:hAnsi="宋体" w:eastAsia="宋体"/>
                <w:color w:val="000000"/>
                <w:sz w:val="20"/>
                <w:szCs w:val="20"/>
              </w:rPr>
              <w:t>十、设置政府信息查阅点数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一</w:t>
            </w:r>
            <w:r>
              <w:rPr>
                <w:rFonts w:ascii="宋体" w:hAnsi="宋体" w:eastAsia="宋体"/>
                <w:color w:val="000000"/>
                <w:sz w:val="20"/>
                <w:szCs w:val="20"/>
              </w:rPr>
              <w:t>）</w:t>
            </w:r>
            <w:r>
              <w:rPr>
                <w:rFonts w:hint="eastAsia" w:ascii="宋体" w:hAnsi="宋体" w:eastAsia="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二</w:t>
            </w:r>
            <w:r>
              <w:rPr>
                <w:rFonts w:ascii="宋体" w:hAnsi="宋体" w:eastAsia="宋体"/>
                <w:color w:val="000000"/>
                <w:sz w:val="20"/>
                <w:szCs w:val="20"/>
              </w:rPr>
              <w:t>）</w:t>
            </w:r>
            <w:r>
              <w:rPr>
                <w:rFonts w:hint="eastAsia" w:ascii="宋体" w:hAnsi="宋体" w:eastAsia="宋体"/>
                <w:color w:val="000000"/>
                <w:sz w:val="20"/>
                <w:szCs w:val="20"/>
              </w:rPr>
              <w:t>镇政府（街道办事处）</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olor w:val="000000"/>
                <w:sz w:val="20"/>
                <w:szCs w:val="20"/>
              </w:rPr>
            </w:pPr>
            <w:r>
              <w:rPr>
                <w:rFonts w:hint="eastAsia" w:ascii="宋体" w:hAnsi="宋体" w:eastAsia="宋体"/>
                <w:color w:val="000000"/>
                <w:sz w:val="20"/>
                <w:szCs w:val="20"/>
              </w:rPr>
              <w:t>十一、查阅点接待人数</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一</w:t>
            </w:r>
            <w:r>
              <w:rPr>
                <w:rFonts w:ascii="宋体" w:hAnsi="宋体" w:eastAsia="宋体"/>
                <w:color w:val="000000"/>
                <w:sz w:val="20"/>
                <w:szCs w:val="20"/>
              </w:rPr>
              <w:t>）</w:t>
            </w:r>
            <w:r>
              <w:rPr>
                <w:rFonts w:hint="eastAsia" w:ascii="宋体" w:hAnsi="宋体" w:eastAsia="宋体"/>
                <w:color w:val="000000"/>
                <w:sz w:val="20"/>
                <w:szCs w:val="20"/>
              </w:rPr>
              <w:t>县（市、区）政府及其部门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single" w:color="auto" w:sz="4" w:space="0"/>
              <w:left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400" w:firstLineChars="200"/>
              <w:textAlignment w:val="auto"/>
              <w:outlineLvl w:val="9"/>
              <w:rPr>
                <w:rFonts w:ascii="宋体" w:hAnsi="宋体" w:eastAsia="宋体"/>
                <w:color w:val="000000"/>
                <w:sz w:val="20"/>
                <w:szCs w:val="20"/>
              </w:rPr>
            </w:pPr>
            <w:r>
              <w:rPr>
                <w:rFonts w:ascii="宋体" w:hAnsi="宋体" w:eastAsia="宋体"/>
                <w:color w:val="000000"/>
                <w:sz w:val="20"/>
                <w:szCs w:val="20"/>
              </w:rPr>
              <w:t>（</w:t>
            </w:r>
            <w:r>
              <w:rPr>
                <w:rFonts w:hint="eastAsia" w:ascii="宋体" w:hAnsi="宋体" w:eastAsia="宋体"/>
                <w:color w:val="000000"/>
                <w:sz w:val="20"/>
                <w:szCs w:val="20"/>
              </w:rPr>
              <w:t>二</w:t>
            </w:r>
            <w:r>
              <w:rPr>
                <w:rFonts w:ascii="宋体" w:hAnsi="宋体" w:eastAsia="宋体"/>
                <w:color w:val="000000"/>
                <w:sz w:val="20"/>
                <w:szCs w:val="20"/>
              </w:rPr>
              <w:t>）</w:t>
            </w:r>
            <w:r>
              <w:rPr>
                <w:rFonts w:hint="eastAsia" w:ascii="宋体" w:hAnsi="宋体" w:eastAsia="宋体"/>
                <w:color w:val="000000"/>
                <w:sz w:val="20"/>
                <w:szCs w:val="20"/>
              </w:rPr>
              <w:t>镇政府（街道办事处）</w:t>
            </w:r>
          </w:p>
        </w:tc>
        <w:tc>
          <w:tcPr>
            <w:tcW w:w="1002" w:type="dxa"/>
            <w:tcBorders>
              <w:top w:val="single" w:color="auto" w:sz="4" w:space="0"/>
              <w:left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ascii="黑体" w:hAnsi="宋体" w:eastAsia="黑体"/>
                <w:color w:val="000000"/>
                <w:sz w:val="20"/>
                <w:szCs w:val="20"/>
              </w:rPr>
            </w:pPr>
            <w:r>
              <w:rPr>
                <w:rFonts w:hint="eastAsia" w:ascii="黑体" w:hAnsi="宋体" w:eastAsia="黑体"/>
                <w:color w:val="000000"/>
                <w:sz w:val="20"/>
                <w:szCs w:val="20"/>
              </w:rPr>
              <w:t>次</w:t>
            </w:r>
          </w:p>
        </w:tc>
        <w:tc>
          <w:tcPr>
            <w:tcW w:w="1015" w:type="dxa"/>
            <w:tcBorders>
              <w:top w:val="single" w:color="auto" w:sz="4" w:space="0"/>
              <w:left w:val="outset" w:color="000000" w:sz="6" w:space="0"/>
              <w:right w:val="outset" w:color="000000" w:sz="6"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right="0" w:rightChars="0"/>
              <w:textAlignment w:val="auto"/>
              <w:outlineLvl w:val="9"/>
              <w:rPr>
                <w:rFonts w:ascii="黑体" w:hAnsi="宋体" w:eastAsia="黑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十二、依申请公开信息收取的费用</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十三、机构建设和保障经费情况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（一）政府信息公开工作专门机构数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w:t>
            </w:r>
            <w:r>
              <w:rPr>
                <w:rFonts w:hint="eastAsia" w:ascii="宋体" w:hAnsi="宋体" w:eastAsia="宋体"/>
                <w:color w:val="000000"/>
                <w:sz w:val="20"/>
                <w:szCs w:val="20"/>
              </w:rPr>
              <w:t>二</w:t>
            </w:r>
            <w:r>
              <w:rPr>
                <w:rFonts w:ascii="宋体" w:hAnsi="宋体" w:eastAsia="宋体"/>
                <w:color w:val="000000"/>
                <w:sz w:val="20"/>
                <w:szCs w:val="20"/>
              </w:rPr>
              <w:t>）从事政府信息公开工作人员数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w:t>
            </w:r>
            <w:r>
              <w:rPr>
                <w:rFonts w:hint="eastAsia" w:ascii="宋体" w:hAnsi="宋体" w:eastAsia="宋体"/>
                <w:color w:val="000000"/>
                <w:sz w:val="20"/>
                <w:szCs w:val="20"/>
              </w:rPr>
              <w:t>三</w:t>
            </w:r>
            <w:r>
              <w:rPr>
                <w:rFonts w:ascii="宋体" w:hAnsi="宋体" w:eastAsia="宋体"/>
                <w:color w:val="000000"/>
                <w:sz w:val="20"/>
                <w:szCs w:val="20"/>
              </w:rPr>
              <w:t>）政府信息公开专项经费（不包括用于政府公报编辑管理及政府网站建设维</w:t>
            </w:r>
            <w:r>
              <w:rPr>
                <w:rFonts w:ascii="宋体" w:hAnsi="宋体" w:eastAsia="宋体"/>
                <w:color w:val="000000"/>
                <w:sz w:val="20"/>
                <w:szCs w:val="20"/>
              </w:rPr>
              <w:br w:type="textWrapping"/>
            </w:r>
            <w:r>
              <w:rPr>
                <w:rFonts w:ascii="宋体" w:hAnsi="宋体" w:eastAsia="宋体"/>
                <w:color w:val="000000"/>
                <w:sz w:val="20"/>
                <w:szCs w:val="20"/>
              </w:rPr>
              <w:t>　　　　　护等方面的经费）</w:t>
            </w:r>
          </w:p>
        </w:tc>
        <w:tc>
          <w:tcPr>
            <w:tcW w:w="1002" w:type="dxa"/>
            <w:tcBorders>
              <w:top w:val="outset" w:color="000000" w:sz="6" w:space="0"/>
              <w:left w:val="outset" w:color="000000" w:sz="6" w:space="0"/>
              <w:bottom w:val="single" w:color="auto" w:sz="4"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黑体" w:hAnsi="宋体" w:eastAsia="黑体" w:cs="宋体"/>
                <w:color w:val="000000"/>
                <w:sz w:val="24"/>
              </w:rPr>
            </w:pPr>
            <w:r>
              <w:rPr>
                <w:rFonts w:hint="eastAsia" w:ascii="黑体" w:hAnsi="宋体" w:eastAsia="黑体"/>
                <w:color w:val="000000"/>
                <w:sz w:val="20"/>
                <w:szCs w:val="20"/>
              </w:rPr>
              <w:t>十四、政府信息公开会议和培训情况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433"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eastAsia="宋体" w:cs="宋体"/>
                <w:color w:val="000000"/>
                <w:sz w:val="24"/>
              </w:rPr>
            </w:pPr>
            <w:r>
              <w:rPr>
                <w:rFonts w:ascii="宋体" w:hAnsi="宋体" w:eastAsia="宋体"/>
                <w:color w:val="000000"/>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eastAsia="宋体" w:cs="宋体"/>
                <w:color w:val="000000"/>
                <w:sz w:val="24"/>
              </w:rPr>
            </w:pPr>
            <w:r>
              <w:rPr>
                <w:rFonts w:hint="eastAsia" w:ascii="宋体" w:hAnsi="宋体" w:eastAsia="宋体"/>
                <w:color w:val="000000"/>
                <w:sz w:val="20"/>
                <w:szCs w:val="20"/>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ascii="宋体" w:hAnsi="宋体" w:cs="宋体"/>
                <w:color w:val="000000"/>
                <w:sz w:val="24"/>
              </w:rPr>
            </w:pPr>
            <w:r>
              <w:rPr>
                <w:rFonts w:ascii="宋体" w:hAnsi="宋体"/>
                <w:color w:val="000000"/>
              </w:rPr>
              <w:t>　</w:t>
            </w:r>
          </w:p>
        </w:tc>
      </w:tr>
    </w:tbl>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color w:val="000000"/>
          <w:sz w:val="20"/>
          <w:szCs w:val="20"/>
        </w:rPr>
      </w:pPr>
      <w:r>
        <w:rPr>
          <w:rFonts w:hint="eastAsia" w:ascii="宋体" w:hAnsi="宋体" w:eastAsia="宋体"/>
          <w:color w:val="000000"/>
          <w:sz w:val="20"/>
          <w:szCs w:val="20"/>
        </w:rPr>
        <w:t>（注：各子栏目数总数要等于总栏目数量）</w:t>
      </w:r>
    </w:p>
    <w:p>
      <w:pPr>
        <w:keepNext w:val="0"/>
        <w:keepLines w:val="0"/>
        <w:pageBreakBefore w:val="0"/>
        <w:kinsoku/>
        <w:wordWrap/>
        <w:overflowPunct/>
        <w:topLinePunct w:val="0"/>
        <w:autoSpaceDE/>
        <w:autoSpaceDN/>
        <w:bidi w:val="0"/>
        <w:adjustRightInd/>
        <w:snapToGrid/>
        <w:spacing w:line="360" w:lineRule="exact"/>
        <w:ind w:left="0" w:leftChars="0" w:right="0" w:rightChars="0"/>
        <w:textAlignment w:val="auto"/>
        <w:outlineLvl w:val="9"/>
        <w:rPr>
          <w:rFonts w:hint="eastAsia" w:ascii="宋体" w:hAnsi="宋体" w:eastAsia="宋体"/>
          <w:b/>
        </w:rPr>
      </w:pP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325" w:line="560" w:lineRule="exact"/>
        <w:ind w:right="0"/>
        <w:jc w:val="left"/>
        <w:textAlignment w:val="auto"/>
        <w:rPr>
          <w:rFonts w:hint="eastAsia" w:ascii="仿宋_GB2312" w:hAnsi="仿宋_GB2312" w:eastAsia="仿宋_GB2312" w:cs="仿宋_GB2312"/>
          <w:color w:val="000000"/>
          <w:w w:val="95"/>
          <w:position w:val="0"/>
          <w:sz w:val="32"/>
          <w:szCs w:val="32"/>
          <w:lang w:val="zh-CN" w:eastAsia="zh-CN" w:bidi="zh-CN"/>
        </w:rPr>
      </w:pP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325" w:line="560" w:lineRule="exact"/>
        <w:ind w:left="0" w:right="0" w:firstLine="728" w:firstLineChars="200"/>
        <w:jc w:val="left"/>
        <w:textAlignment w:val="auto"/>
        <w:rPr>
          <w:rFonts w:hint="eastAsia" w:ascii="仿宋_GB2312" w:hAnsi="仿宋_GB2312" w:eastAsia="仿宋_GB2312" w:cs="仿宋_GB2312"/>
          <w:color w:val="000000"/>
          <w:w w:val="95"/>
          <w:position w:val="0"/>
          <w:sz w:val="32"/>
          <w:szCs w:val="32"/>
          <w:lang w:val="zh-CN" w:eastAsia="zh-CN" w:bidi="zh-CN"/>
        </w:rPr>
      </w:pPr>
    </w:p>
    <w:p>
      <w:pPr>
        <w:pStyle w:val="6"/>
        <w:keepNext w:val="0"/>
        <w:keepLines w:val="0"/>
        <w:pageBreakBefore w:val="0"/>
        <w:widowControl w:val="0"/>
        <w:shd w:val="clear" w:color="auto" w:fill="auto"/>
        <w:kinsoku/>
        <w:wordWrap/>
        <w:overflowPunct/>
        <w:topLinePunct w:val="0"/>
        <w:autoSpaceDE/>
        <w:autoSpaceDN/>
        <w:bidi w:val="0"/>
        <w:adjustRightInd/>
        <w:snapToGrid/>
        <w:spacing w:before="0" w:after="1325" w:line="560" w:lineRule="exact"/>
        <w:ind w:left="3891" w:leftChars="1672" w:right="0" w:hanging="380" w:hangingChars="100"/>
        <w:jc w:val="left"/>
        <w:textAlignment w:val="auto"/>
        <w:rPr>
          <w:rFonts w:hint="eastAsia" w:ascii="仿宋_GB2312" w:hAnsi="仿宋_GB2312" w:eastAsia="仿宋_GB2312" w:cs="仿宋_GB2312"/>
          <w:color w:val="000000"/>
          <w:w w:val="100"/>
          <w:position w:val="0"/>
          <w:sz w:val="32"/>
          <w:szCs w:val="32"/>
          <w:lang w:val="zh-CN" w:eastAsia="zh-CN" w:bidi="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auto"/>
    <w:pitch w:val="default"/>
    <w:sig w:usb0="A00002FF" w:usb1="28CFFCFA" w:usb2="00000016" w:usb3="00000000" w:csb0="0010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B2A17"/>
    <w:multiLevelType w:val="singleLevel"/>
    <w:tmpl w:val="587B2A17"/>
    <w:lvl w:ilvl="0" w:tentative="0">
      <w:start w:val="5"/>
      <w:numFmt w:val="chineseCounting"/>
      <w:suff w:val="nothing"/>
      <w:lvlText w:val="（%1）"/>
      <w:lvlJc w:val="left"/>
      <w:rPr>
        <w:rFonts w:hint="eastAsia"/>
      </w:rPr>
    </w:lvl>
  </w:abstractNum>
  <w:abstractNum w:abstractNumId="1">
    <w:nsid w:val="5CD02495"/>
    <w:multiLevelType w:val="singleLevel"/>
    <w:tmpl w:val="5CD02495"/>
    <w:lvl w:ilvl="0" w:tentative="0">
      <w:start w:val="7"/>
      <w:numFmt w:val="chineseCounting"/>
      <w:suff w:val="nothing"/>
      <w:lvlText w:val="%1、"/>
      <w:lvlJc w:val="left"/>
      <w:rPr>
        <w:rFonts w:hint="eastAsia"/>
      </w:rPr>
    </w:lvl>
  </w:abstractNum>
  <w:abstractNum w:abstractNumId="2">
    <w:nsid w:val="7A6EF59C"/>
    <w:multiLevelType w:val="singleLevel"/>
    <w:tmpl w:val="7A6EF59C"/>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F4CD5"/>
    <w:rsid w:val="020C1DAD"/>
    <w:rsid w:val="023712BF"/>
    <w:rsid w:val="0B6C4C11"/>
    <w:rsid w:val="0D026474"/>
    <w:rsid w:val="154F74DF"/>
    <w:rsid w:val="16347EC2"/>
    <w:rsid w:val="1670013A"/>
    <w:rsid w:val="198212FB"/>
    <w:rsid w:val="1B09436C"/>
    <w:rsid w:val="1D230EF2"/>
    <w:rsid w:val="1EEE74C3"/>
    <w:rsid w:val="1F27498E"/>
    <w:rsid w:val="208F70DE"/>
    <w:rsid w:val="26B24FC9"/>
    <w:rsid w:val="278674FE"/>
    <w:rsid w:val="289266F9"/>
    <w:rsid w:val="293A78BF"/>
    <w:rsid w:val="2B9D0E09"/>
    <w:rsid w:val="316C6625"/>
    <w:rsid w:val="33DF6BB3"/>
    <w:rsid w:val="357C40F4"/>
    <w:rsid w:val="36D2525A"/>
    <w:rsid w:val="3975213E"/>
    <w:rsid w:val="3D291990"/>
    <w:rsid w:val="413E0E98"/>
    <w:rsid w:val="4D9E3E2F"/>
    <w:rsid w:val="4EB6595C"/>
    <w:rsid w:val="572A6DF6"/>
    <w:rsid w:val="5CB0120D"/>
    <w:rsid w:val="5DFD2960"/>
    <w:rsid w:val="5E6B6F44"/>
    <w:rsid w:val="626606AE"/>
    <w:rsid w:val="68EB069D"/>
    <w:rsid w:val="6AC35B3C"/>
    <w:rsid w:val="6CB77E53"/>
    <w:rsid w:val="6E4B4A20"/>
    <w:rsid w:val="6E811F32"/>
    <w:rsid w:val="6F3565F8"/>
    <w:rsid w:val="75B809A0"/>
    <w:rsid w:val="76CF5FE4"/>
    <w:rsid w:val="789B03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 w:type="paragraph" w:customStyle="1" w:styleId="6">
    <w:name w:val="Body text|2"/>
    <w:basedOn w:val="1"/>
    <w:link w:val="9"/>
    <w:qFormat/>
    <w:uiPriority w:val="0"/>
    <w:pPr>
      <w:widowControl w:val="0"/>
      <w:shd w:val="clear" w:color="auto" w:fill="FFFFFF"/>
      <w:spacing w:after="640" w:line="300" w:lineRule="exact"/>
      <w:jc w:val="center"/>
    </w:pPr>
    <w:rPr>
      <w:rFonts w:ascii="PMingLiU" w:hAnsi="PMingLiU" w:eastAsia="PMingLiU" w:cs="PMingLiU"/>
      <w:spacing w:val="30"/>
      <w:sz w:val="30"/>
      <w:szCs w:val="30"/>
      <w:u w:val="none"/>
    </w:rPr>
  </w:style>
  <w:style w:type="paragraph" w:customStyle="1" w:styleId="7">
    <w:name w:val="Heading #2|1"/>
    <w:basedOn w:val="1"/>
    <w:qFormat/>
    <w:uiPriority w:val="0"/>
    <w:pPr>
      <w:widowControl w:val="0"/>
      <w:shd w:val="clear" w:color="auto" w:fill="FFFFFF"/>
      <w:spacing w:before="280" w:after="540" w:line="554" w:lineRule="exact"/>
      <w:jc w:val="center"/>
      <w:outlineLvl w:val="1"/>
    </w:pPr>
    <w:rPr>
      <w:rFonts w:ascii="PMingLiU" w:hAnsi="PMingLiU" w:eastAsia="PMingLiU" w:cs="PMingLiU"/>
      <w:sz w:val="42"/>
      <w:szCs w:val="42"/>
      <w:u w:val="none"/>
    </w:rPr>
  </w:style>
  <w:style w:type="character" w:customStyle="1" w:styleId="8">
    <w:name w:val="Body text|2 + 12 pt"/>
    <w:basedOn w:val="9"/>
    <w:semiHidden/>
    <w:unhideWhenUsed/>
    <w:qFormat/>
    <w:uiPriority w:val="0"/>
    <w:rPr>
      <w:color w:val="000000"/>
      <w:spacing w:val="70"/>
      <w:w w:val="100"/>
      <w:position w:val="0"/>
      <w:sz w:val="24"/>
      <w:szCs w:val="24"/>
      <w:lang w:val="zh-CN" w:eastAsia="zh-CN" w:bidi="zh-CN"/>
    </w:rPr>
  </w:style>
  <w:style w:type="character" w:customStyle="1" w:styleId="9">
    <w:name w:val="Body text|2_"/>
    <w:basedOn w:val="3"/>
    <w:link w:val="6"/>
    <w:qFormat/>
    <w:uiPriority w:val="0"/>
    <w:rPr>
      <w:rFonts w:ascii="PMingLiU" w:hAnsi="PMingLiU" w:eastAsia="PMingLiU" w:cs="PMingLiU"/>
      <w:spacing w:val="30"/>
      <w:sz w:val="30"/>
      <w:szCs w:val="30"/>
      <w:u w:val="none"/>
    </w:rPr>
  </w:style>
  <w:style w:type="paragraph" w:customStyle="1" w:styleId="10">
    <w:name w:val="Heading #1|1"/>
    <w:basedOn w:val="1"/>
    <w:qFormat/>
    <w:uiPriority w:val="0"/>
    <w:pPr>
      <w:widowControl w:val="0"/>
      <w:shd w:val="clear" w:color="auto" w:fill="FFFFFF"/>
      <w:spacing w:after="860" w:line="672" w:lineRule="exact"/>
      <w:jc w:val="center"/>
      <w:outlineLvl w:val="0"/>
    </w:pPr>
    <w:rPr>
      <w:rFonts w:ascii="PMingLiU" w:hAnsi="PMingLiU" w:eastAsia="PMingLiU" w:cs="PMingLiU"/>
      <w:sz w:val="44"/>
      <w:szCs w:val="44"/>
      <w:u w:val="none"/>
    </w:rPr>
  </w:style>
  <w:style w:type="paragraph" w:customStyle="1" w:styleId="11">
    <w:name w:val="Body text|3"/>
    <w:basedOn w:val="1"/>
    <w:qFormat/>
    <w:uiPriority w:val="0"/>
    <w:pPr>
      <w:widowControl w:val="0"/>
      <w:shd w:val="clear" w:color="auto" w:fill="FFFFFF"/>
      <w:spacing w:before="180" w:line="562" w:lineRule="exact"/>
    </w:pPr>
    <w:rPr>
      <w:rFonts w:ascii="PMingLiU" w:hAnsi="PMingLiU" w:eastAsia="PMingLiU" w:cs="PMingLiU"/>
      <w:b/>
      <w:bCs/>
      <w:sz w:val="30"/>
      <w:szCs w:val="30"/>
      <w:u w:val="none"/>
    </w:rPr>
  </w:style>
  <w:style w:type="character" w:customStyle="1" w:styleId="12">
    <w:name w:val="Body text|2 + 15 pt"/>
    <w:basedOn w:val="9"/>
    <w:semiHidden/>
    <w:unhideWhenUsed/>
    <w:qFormat/>
    <w:uiPriority w:val="0"/>
    <w:rPr>
      <w:color w:val="000000"/>
      <w:spacing w:val="80"/>
      <w:w w:val="100"/>
      <w:position w:val="0"/>
      <w:sz w:val="30"/>
      <w:szCs w:val="30"/>
      <w:lang w:val="zh-CN" w:eastAsia="zh-CN" w:bidi="zh-CN"/>
    </w:rPr>
  </w:style>
  <w:style w:type="paragraph" w:customStyle="1" w:styleId="13">
    <w:name w:val="Picture caption|2"/>
    <w:basedOn w:val="1"/>
    <w:link w:val="15"/>
    <w:qFormat/>
    <w:uiPriority w:val="0"/>
    <w:pPr>
      <w:widowControl w:val="0"/>
      <w:shd w:val="clear" w:color="auto" w:fill="FFFFFF"/>
      <w:spacing w:line="100" w:lineRule="exact"/>
    </w:pPr>
    <w:rPr>
      <w:rFonts w:ascii="PMingLiU" w:hAnsi="PMingLiU" w:eastAsia="PMingLiU" w:cs="PMingLiU"/>
      <w:sz w:val="10"/>
      <w:szCs w:val="10"/>
      <w:u w:val="none"/>
    </w:rPr>
  </w:style>
  <w:style w:type="character" w:customStyle="1" w:styleId="14">
    <w:name w:val="Picture caption|2 Exact1"/>
    <w:basedOn w:val="15"/>
    <w:semiHidden/>
    <w:unhideWhenUsed/>
    <w:qFormat/>
    <w:uiPriority w:val="0"/>
    <w:rPr>
      <w:color w:val="3C9BD8"/>
      <w:spacing w:val="0"/>
      <w:w w:val="100"/>
      <w:position w:val="0"/>
      <w:lang w:val="en-US" w:eastAsia="en-US" w:bidi="en-US"/>
    </w:rPr>
  </w:style>
  <w:style w:type="character" w:customStyle="1" w:styleId="15">
    <w:name w:val="Picture caption|2 Exact"/>
    <w:basedOn w:val="3"/>
    <w:link w:val="13"/>
    <w:qFormat/>
    <w:uiPriority w:val="0"/>
    <w:rPr>
      <w:rFonts w:ascii="PMingLiU" w:hAnsi="PMingLiU" w:eastAsia="PMingLiU" w:cs="PMingLiU"/>
      <w:sz w:val="10"/>
      <w:szCs w:val="10"/>
      <w:u w:val="none"/>
    </w:rPr>
  </w:style>
  <w:style w:type="paragraph" w:customStyle="1" w:styleId="16">
    <w:name w:val="Picture caption|3"/>
    <w:basedOn w:val="1"/>
    <w:qFormat/>
    <w:uiPriority w:val="0"/>
    <w:pPr>
      <w:widowControl w:val="0"/>
      <w:shd w:val="clear" w:color="auto" w:fill="FFFFFF"/>
      <w:spacing w:after="80" w:line="110" w:lineRule="exact"/>
    </w:pPr>
    <w:rPr>
      <w:rFonts w:ascii="PMingLiU" w:hAnsi="PMingLiU" w:eastAsia="PMingLiU" w:cs="PMingLiU"/>
      <w:sz w:val="11"/>
      <w:szCs w:val="11"/>
      <w:u w:val="none"/>
      <w:lang w:val="en-US" w:eastAsia="en-US" w:bidi="en-US"/>
    </w:rPr>
  </w:style>
  <w:style w:type="paragraph" w:customStyle="1" w:styleId="17">
    <w:name w:val="Picture caption|4"/>
    <w:basedOn w:val="1"/>
    <w:link w:val="19"/>
    <w:qFormat/>
    <w:uiPriority w:val="0"/>
    <w:pPr>
      <w:widowControl w:val="0"/>
      <w:shd w:val="clear" w:color="auto" w:fill="FFFFFF"/>
      <w:spacing w:before="80" w:line="90" w:lineRule="exact"/>
    </w:pPr>
    <w:rPr>
      <w:rFonts w:ascii="PMingLiU" w:hAnsi="PMingLiU" w:eastAsia="PMingLiU" w:cs="PMingLiU"/>
      <w:sz w:val="9"/>
      <w:szCs w:val="9"/>
      <w:u w:val="none"/>
    </w:rPr>
  </w:style>
  <w:style w:type="character" w:customStyle="1" w:styleId="18">
    <w:name w:val="Picture caption|4 Exact1"/>
    <w:basedOn w:val="19"/>
    <w:semiHidden/>
    <w:unhideWhenUsed/>
    <w:qFormat/>
    <w:uiPriority w:val="0"/>
    <w:rPr>
      <w:color w:val="69B4F0"/>
      <w:spacing w:val="0"/>
      <w:w w:val="100"/>
      <w:position w:val="0"/>
      <w:lang w:val="zh-CN" w:eastAsia="zh-CN" w:bidi="zh-CN"/>
    </w:rPr>
  </w:style>
  <w:style w:type="character" w:customStyle="1" w:styleId="19">
    <w:name w:val="Picture caption|4 Exact"/>
    <w:basedOn w:val="3"/>
    <w:link w:val="17"/>
    <w:qFormat/>
    <w:uiPriority w:val="0"/>
    <w:rPr>
      <w:rFonts w:ascii="PMingLiU" w:hAnsi="PMingLiU" w:eastAsia="PMingLiU" w:cs="PMingLiU"/>
      <w:sz w:val="9"/>
      <w:szCs w:val="9"/>
      <w:u w:val="none"/>
    </w:rPr>
  </w:style>
  <w:style w:type="paragraph" w:customStyle="1" w:styleId="20">
    <w:name w:val="Picture caption|5"/>
    <w:basedOn w:val="1"/>
    <w:qFormat/>
    <w:uiPriority w:val="0"/>
    <w:pPr>
      <w:widowControl w:val="0"/>
      <w:shd w:val="clear" w:color="auto" w:fill="FFFFFF"/>
      <w:spacing w:line="80" w:lineRule="exact"/>
    </w:pPr>
    <w:rPr>
      <w:rFonts w:ascii="PMingLiU" w:hAnsi="PMingLiU" w:eastAsia="PMingLiU" w:cs="PMingLiU"/>
      <w:sz w:val="8"/>
      <w:szCs w:val="8"/>
      <w:u w:val="none"/>
    </w:rPr>
  </w:style>
  <w:style w:type="paragraph" w:customStyle="1" w:styleId="21">
    <w:name w:val="Body text|7"/>
    <w:basedOn w:val="1"/>
    <w:link w:val="24"/>
    <w:qFormat/>
    <w:uiPriority w:val="0"/>
    <w:pPr>
      <w:widowControl w:val="0"/>
      <w:shd w:val="clear" w:color="auto" w:fill="FFFFFF"/>
      <w:spacing w:before="180" w:after="100" w:line="260" w:lineRule="exact"/>
      <w:jc w:val="both"/>
    </w:pPr>
    <w:rPr>
      <w:rFonts w:ascii="PMingLiU" w:hAnsi="PMingLiU" w:eastAsia="PMingLiU" w:cs="PMingLiU"/>
      <w:sz w:val="10"/>
      <w:szCs w:val="10"/>
      <w:u w:val="none"/>
    </w:rPr>
  </w:style>
  <w:style w:type="character" w:customStyle="1" w:styleId="22">
    <w:name w:val="Body text|7 Exact"/>
    <w:basedOn w:val="3"/>
    <w:semiHidden/>
    <w:unhideWhenUsed/>
    <w:qFormat/>
    <w:uiPriority w:val="0"/>
    <w:rPr>
      <w:rFonts w:ascii="PMingLiU" w:hAnsi="PMingLiU" w:eastAsia="PMingLiU" w:cs="PMingLiU"/>
      <w:sz w:val="10"/>
      <w:szCs w:val="10"/>
      <w:u w:val="none"/>
    </w:rPr>
  </w:style>
  <w:style w:type="character" w:customStyle="1" w:styleId="23">
    <w:name w:val="Body text|7 + Times New Roman"/>
    <w:basedOn w:val="24"/>
    <w:semiHidden/>
    <w:unhideWhenUsed/>
    <w:qFormat/>
    <w:uiPriority w:val="0"/>
    <w:rPr>
      <w:rFonts w:ascii="Times New Roman" w:hAnsi="Times New Roman" w:eastAsia="Times New Roman" w:cs="Times New Roman"/>
      <w:color w:val="3C9BD8"/>
      <w:spacing w:val="0"/>
      <w:w w:val="100"/>
      <w:position w:val="0"/>
      <w:sz w:val="11"/>
      <w:szCs w:val="11"/>
      <w:lang w:val="en-US" w:eastAsia="en-US" w:bidi="en-US"/>
    </w:rPr>
  </w:style>
  <w:style w:type="character" w:customStyle="1" w:styleId="24">
    <w:name w:val="Body text|7_"/>
    <w:basedOn w:val="3"/>
    <w:link w:val="21"/>
    <w:qFormat/>
    <w:uiPriority w:val="0"/>
    <w:rPr>
      <w:rFonts w:ascii="PMingLiU" w:hAnsi="PMingLiU" w:eastAsia="PMingLiU" w:cs="PMingLiU"/>
      <w:sz w:val="10"/>
      <w:szCs w:val="10"/>
      <w:u w:val="none"/>
    </w:rPr>
  </w:style>
  <w:style w:type="character" w:customStyle="1" w:styleId="25">
    <w:name w:val="Body text|7 Exact1"/>
    <w:basedOn w:val="24"/>
    <w:semiHidden/>
    <w:unhideWhenUsed/>
    <w:qFormat/>
    <w:uiPriority w:val="0"/>
    <w:rPr>
      <w:color w:val="3C9BD8"/>
      <w:spacing w:val="0"/>
      <w:w w:val="100"/>
      <w:position w:val="0"/>
      <w:lang w:val="zh-CN" w:eastAsia="zh-CN" w:bidi="zh-CN"/>
    </w:rPr>
  </w:style>
  <w:style w:type="paragraph" w:customStyle="1" w:styleId="26">
    <w:name w:val="Picture caption|1"/>
    <w:basedOn w:val="1"/>
    <w:qFormat/>
    <w:uiPriority w:val="0"/>
    <w:pPr>
      <w:widowControl w:val="0"/>
      <w:shd w:val="clear" w:color="auto" w:fill="FFFFFF"/>
      <w:spacing w:line="557" w:lineRule="exact"/>
      <w:ind w:firstLine="820"/>
    </w:pPr>
    <w:rPr>
      <w:rFonts w:ascii="PMingLiU" w:hAnsi="PMingLiU" w:eastAsia="PMingLiU" w:cs="PMingLiU"/>
      <w:spacing w:val="30"/>
      <w:sz w:val="28"/>
      <w:szCs w:val="28"/>
      <w:u w:val="none"/>
    </w:rPr>
  </w:style>
  <w:style w:type="character" w:customStyle="1" w:styleId="27">
    <w:name w:val="Body text|2 + Spacing 4 pt"/>
    <w:basedOn w:val="9"/>
    <w:semiHidden/>
    <w:unhideWhenUsed/>
    <w:qFormat/>
    <w:uiPriority w:val="0"/>
    <w:rPr>
      <w:color w:val="000000"/>
      <w:spacing w:val="80"/>
      <w:w w:val="100"/>
      <w:position w:val="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鞠晓科</cp:lastModifiedBy>
  <cp:lastPrinted>2019-02-01T02:30:00Z</cp:lastPrinted>
  <dcterms:modified xsi:type="dcterms:W3CDTF">2019-02-12T06:55:21Z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