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C724B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right="0"/>
        <w:jc w:val="center"/>
        <w:textAlignment w:val="auto"/>
        <w:outlineLvl w:val="9"/>
        <w:rPr>
          <w:rFonts w:hint="eastAsia" w:ascii="宋体" w:hAnsi="宋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宋体" w:hAnsi="宋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color="auto" w:fill="FFFFFF"/>
          <w:lang w:val="en-US" w:eastAsia="zh-CN"/>
        </w:rPr>
        <w:t>威海临港经济技术开发区管理委员会</w:t>
      </w:r>
    </w:p>
    <w:p w14:paraId="72DC7969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right="0"/>
        <w:jc w:val="center"/>
        <w:textAlignment w:val="auto"/>
        <w:outlineLvl w:val="9"/>
        <w:rPr>
          <w:rFonts w:hint="eastAsia" w:ascii="宋体" w:hAnsi="宋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宋体" w:hAnsi="宋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color="auto" w:fill="FFFFFF"/>
          <w:lang w:val="en-US" w:eastAsia="zh-CN"/>
        </w:rPr>
        <w:t>2025年政府信息公开工作年度报告</w:t>
      </w:r>
    </w:p>
    <w:p w14:paraId="79719C29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76" w:lineRule="exact"/>
        <w:ind w:left="0" w:firstLine="645"/>
        <w:jc w:val="both"/>
        <w:textAlignment w:val="auto"/>
        <w:rPr>
          <w:rFonts w:hint="eastAsia" w:ascii="宋体" w:hAnsi="宋体" w:eastAsia="仿宋_GB2312" w:cs="仿宋_GB2312"/>
          <w:color w:val="auto"/>
          <w:sz w:val="32"/>
          <w:szCs w:val="32"/>
        </w:rPr>
      </w:pPr>
    </w:p>
    <w:p w14:paraId="3A8C8143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76" w:lineRule="exact"/>
        <w:ind w:left="0" w:firstLine="645"/>
        <w:jc w:val="both"/>
        <w:textAlignment w:val="auto"/>
        <w:rPr>
          <w:rFonts w:hint="eastAsia" w:ascii="宋体" w:hAnsi="宋体" w:eastAsia="仿宋_GB2312" w:cs="仿宋_GB2312"/>
          <w:color w:val="auto"/>
          <w:sz w:val="32"/>
          <w:szCs w:val="32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</w:rPr>
        <w:t>根据《中华人民共和国政府信息公开条例》（国务院令第711号，以下简称《条例》）和《中华人民共和国政府信息公开工作年度报告格式》（国办公开办函〔2021〕30号）要求，结合202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年威海临港经济技术开发区管理委员会政府信息公开工作实际，编制发布本报告。</w:t>
      </w:r>
    </w:p>
    <w:p w14:paraId="3F370314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76" w:lineRule="exact"/>
        <w:ind w:left="0" w:firstLine="645"/>
        <w:jc w:val="both"/>
        <w:textAlignment w:val="auto"/>
        <w:rPr>
          <w:rFonts w:hint="eastAsia" w:ascii="宋体" w:hAnsi="宋体" w:eastAsia="仿宋_GB2312" w:cs="Times New Roman"/>
          <w:color w:val="auto"/>
          <w:sz w:val="32"/>
          <w:szCs w:val="32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</w:rPr>
        <w:t>本报告内容包括：总体情况、主动公开政府信息情况、收到和处理政府信息公开申请情况、政府信息公开行政复议及行政诉讼情况、存在的主要问题及改进情况、其他事项，以及相关指标统计附表等。报告中所列数据统计期限从202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年1月1日到12月31日止。报告电子版可从威海临港经济技术开发区管委会网站（网址：http://www.wip.gov.cn）查阅或下载。公众如需进一步咨询了解相关信息，请与威海临港经济技术开发区管理委员会联系（地址：威海临港经济技术开发区江苏东路，电话：0631-5587393）。</w:t>
      </w:r>
    </w:p>
    <w:p w14:paraId="65481553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N/>
        <w:bidi w:val="0"/>
        <w:adjustRightInd/>
        <w:snapToGrid/>
        <w:spacing w:line="576" w:lineRule="exact"/>
        <w:ind w:left="640" w:leftChars="0" w:firstLine="0" w:firstLineChars="0"/>
        <w:textAlignment w:val="auto"/>
        <w:rPr>
          <w:rFonts w:hint="eastAsia" w:ascii="宋体" w:hAnsi="宋体" w:eastAsia="黑体" w:cs="黑体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宋体" w:hAnsi="宋体" w:eastAsia="黑体" w:cs="黑体"/>
          <w:color w:val="auto"/>
          <w:kern w:val="0"/>
          <w:sz w:val="32"/>
          <w:szCs w:val="32"/>
          <w:lang w:val="en-US" w:eastAsia="zh-CN" w:bidi="ar"/>
        </w:rPr>
        <w:t>总体情况</w:t>
      </w:r>
    </w:p>
    <w:p w14:paraId="2EF697B5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76" w:lineRule="exact"/>
        <w:ind w:left="0" w:firstLine="645"/>
        <w:jc w:val="both"/>
        <w:textAlignment w:val="auto"/>
        <w:rPr>
          <w:rFonts w:hint="eastAsia" w:ascii="宋体" w:hAnsi="宋体" w:eastAsia="仿宋_GB2312" w:cs="仿宋_GB2312"/>
          <w:color w:val="auto"/>
          <w:sz w:val="32"/>
          <w:szCs w:val="32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2025年，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威海临港经济技术开发区管理委员</w:t>
      </w:r>
      <w:r>
        <w:rPr>
          <w:rFonts w:hint="eastAsia" w:ascii="宋体" w:hAnsi="宋体" w:cs="仿宋_GB2312"/>
          <w:color w:val="auto"/>
          <w:sz w:val="32"/>
          <w:szCs w:val="32"/>
          <w:lang w:eastAsia="zh-CN"/>
        </w:rPr>
        <w:t>会</w:t>
      </w:r>
      <w:bookmarkStart w:id="10" w:name="_GoBack"/>
      <w:bookmarkEnd w:id="10"/>
      <w:r>
        <w:rPr>
          <w:rFonts w:hint="eastAsia" w:ascii="宋体" w:hAnsi="宋体" w:eastAsia="仿宋_GB2312" w:cs="仿宋_GB2312"/>
          <w:color w:val="auto"/>
          <w:sz w:val="32"/>
          <w:szCs w:val="32"/>
        </w:rPr>
        <w:t>认真贯彻落实《条例》及国家、省、市关于全面推进政务公开工作的系列决策部署，紧紧围绕经济社会发展和人民群众关注关切，持续深化公开内容，完善公开机制，优化公开服务，不断提升政府工作透明度和公信力。</w:t>
      </w:r>
    </w:p>
    <w:p w14:paraId="40086730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default" w:ascii="宋体" w:hAnsi="宋体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楷体_GB2312" w:cs="楷体_GB2312"/>
          <w:b w:val="0"/>
          <w:bCs/>
          <w:sz w:val="32"/>
          <w:szCs w:val="32"/>
          <w:lang w:val="en-US" w:eastAsia="zh-CN"/>
        </w:rPr>
        <w:t>（一）主动公开。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聚焦法定主动公开内容，围绕重点领域，全年通过政府网站、政务新媒体等平台主动公开政府信息10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696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条（较上年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提高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3.8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%，含网站信息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3065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件、微信信息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5770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件、微博信息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1503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件、抖音信息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358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件），其中公开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党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工委会议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12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件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，新闻发布会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6件，举办“政府开放日”</w:t>
      </w:r>
      <w:r>
        <w:rPr>
          <w:rFonts w:hint="eastAsia" w:ascii="宋体" w:hAnsi="宋体" w:cs="仿宋_GB2312"/>
          <w:color w:val="auto"/>
          <w:sz w:val="32"/>
          <w:szCs w:val="32"/>
          <w:lang w:eastAsia="zh-CN"/>
        </w:rPr>
        <w:t>活动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9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次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，以及其他法定主动公开内容，</w:t>
      </w:r>
      <w:r>
        <w:rPr>
          <w:rFonts w:hint="eastAsia" w:ascii="宋体" w:hAnsi="宋体" w:cs="仿宋_GB2312"/>
          <w:color w:val="auto"/>
          <w:sz w:val="32"/>
          <w:szCs w:val="32"/>
          <w:lang w:eastAsia="zh-CN"/>
        </w:rPr>
        <w:t>现行有效规范性文件共</w:t>
      </w:r>
      <w:r>
        <w:rPr>
          <w:rFonts w:hint="eastAsia" w:ascii="宋体" w:hAnsi="宋体" w:cs="仿宋_GB2312"/>
          <w:color w:val="auto"/>
          <w:sz w:val="32"/>
          <w:szCs w:val="32"/>
          <w:lang w:val="en-US" w:eastAsia="zh-CN"/>
        </w:rPr>
        <w:t>6件，本年度失效</w:t>
      </w:r>
      <w:r>
        <w:rPr>
          <w:rFonts w:hint="eastAsia" w:ascii="宋体" w:hAnsi="宋体" w:cs="仿宋_GB2312"/>
          <w:color w:val="auto"/>
          <w:sz w:val="32"/>
          <w:szCs w:val="32"/>
          <w:lang w:eastAsia="zh-CN"/>
        </w:rPr>
        <w:t>规范性文件</w:t>
      </w:r>
      <w:r>
        <w:rPr>
          <w:rFonts w:hint="eastAsia" w:ascii="宋体" w:hAnsi="宋体" w:cs="仿宋_GB2312"/>
          <w:color w:val="auto"/>
          <w:sz w:val="32"/>
          <w:szCs w:val="32"/>
          <w:lang w:val="en-US" w:eastAsia="zh-CN"/>
        </w:rPr>
        <w:t>1件，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确保了公众的知情权和监督权。</w:t>
      </w:r>
    </w:p>
    <w:p w14:paraId="34EA4788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楷体_GB2312" w:cs="楷体_GB2312"/>
          <w:b w:val="0"/>
          <w:bCs/>
          <w:sz w:val="32"/>
          <w:szCs w:val="32"/>
          <w:lang w:val="en-US" w:eastAsia="zh-CN"/>
        </w:rPr>
        <w:t>（二）依申请公开。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畅通线上线下申请渠道，规范受理、审核、办理、答复等各环节流程，依法保障公民、法人和其他组织依法获取政府信息的权利。全年</w:t>
      </w:r>
      <w:r>
        <w:rPr>
          <w:rFonts w:hint="eastAsia" w:ascii="宋体" w:hAnsi="宋体" w:cs="仿宋_GB2312"/>
          <w:color w:val="auto"/>
          <w:sz w:val="32"/>
          <w:szCs w:val="32"/>
          <w:lang w:eastAsia="zh-CN"/>
        </w:rPr>
        <w:t>新收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政府信息公开申请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11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件，依法依规处理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10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件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1件结转至下一年度接续办理。</w:t>
      </w:r>
    </w:p>
    <w:p w14:paraId="39BEB95A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宋体" w:hAnsi="宋体" w:eastAsia="楷体_GB2312" w:cs="楷体_GB2312"/>
          <w:b w:val="0"/>
          <w:bCs/>
          <w:sz w:val="32"/>
          <w:szCs w:val="32"/>
          <w:lang w:val="en-US" w:eastAsia="zh-CN"/>
        </w:rPr>
      </w:pPr>
      <w:r>
        <w:rPr>
          <w:rFonts w:hint="eastAsia" w:ascii="宋体" w:hAnsi="宋体" w:eastAsia="楷体_GB2312" w:cs="楷体_GB2312"/>
          <w:b w:val="0"/>
          <w:bCs/>
          <w:sz w:val="32"/>
          <w:szCs w:val="32"/>
          <w:lang w:val="en-US" w:eastAsia="zh-CN"/>
        </w:rPr>
        <w:t>（三）政府信息管理。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坚持以制度为保障，以规范促管理。</w:t>
      </w:r>
      <w:r>
        <w:rPr>
          <w:rFonts w:hint="eastAsia" w:ascii="宋体" w:hAnsi="宋体" w:cs="仿宋_GB2312"/>
          <w:color w:val="auto"/>
          <w:sz w:val="32"/>
          <w:szCs w:val="32"/>
          <w:lang w:eastAsia="zh-CN"/>
        </w:rPr>
        <w:t>在制定区级主动公开事项目录的基础上，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督导乡镇完善镇级人民政府主动公开事项目录，建立覆盖信息生成、审核、公开、更新</w:t>
      </w:r>
      <w:r>
        <w:rPr>
          <w:rFonts w:hint="eastAsia" w:ascii="宋体" w:hAnsi="宋体" w:cs="仿宋_GB2312"/>
          <w:color w:val="auto"/>
          <w:sz w:val="32"/>
          <w:szCs w:val="32"/>
          <w:lang w:eastAsia="zh-CN"/>
        </w:rPr>
        <w:t>等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全流程的管理制度。强化源头管理，在文件起草环节即明确公开属性，并</w:t>
      </w:r>
      <w:r>
        <w:rPr>
          <w:rFonts w:hint="eastAsia" w:ascii="宋体" w:hAnsi="宋体" w:cs="仿宋_GB2312"/>
          <w:color w:val="auto"/>
          <w:sz w:val="32"/>
          <w:szCs w:val="32"/>
          <w:lang w:eastAsia="zh-CN"/>
        </w:rPr>
        <w:t>于文件制发时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提供政策解读。严格执行信息公开保密审查程序，确保“公开是常态，不公开是例外”原则与信息安全要求落实到位。</w:t>
      </w:r>
    </w:p>
    <w:p w14:paraId="49C87638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楷体_GB2312" w:cs="楷体_GB2312"/>
          <w:b w:val="0"/>
          <w:bCs/>
          <w:sz w:val="32"/>
          <w:szCs w:val="32"/>
          <w:lang w:val="en-US" w:eastAsia="zh-CN"/>
        </w:rPr>
        <w:t>（四）政府信息公开平台建设。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推动公开平台从“有”向“优”转变。完成门户网站适老化改造，新增AI智能问答服务平台，提升在线服务便捷度。规范政务新媒体管理，建立矩阵联动机制，全年通过各类新媒体账号发布信息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7600余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条，总订阅数、关注量超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12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万。</w:t>
      </w:r>
    </w:p>
    <w:p w14:paraId="42EB73C8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楷体_GB2312" w:cs="楷体_GB2312"/>
          <w:b w:val="0"/>
          <w:bCs/>
          <w:sz w:val="32"/>
          <w:szCs w:val="32"/>
          <w:lang w:val="en-US" w:eastAsia="zh-CN"/>
        </w:rPr>
        <w:t>（五）监督保障。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将政务公开</w:t>
      </w:r>
      <w:r>
        <w:rPr>
          <w:rFonts w:hint="eastAsia" w:ascii="宋体" w:hAnsi="宋体" w:cs="仿宋_GB2312"/>
          <w:color w:val="auto"/>
          <w:sz w:val="32"/>
          <w:szCs w:val="32"/>
          <w:lang w:eastAsia="zh-CN"/>
        </w:rPr>
        <w:t>重要政策解读工作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纳入年度绩效考核体系，明确责任分工，加强督促检查。定期组织开展政务公开业务培训，提升工作人员能力水平。主动接受社会监督，认真研究处理社会公众对政府信息公开工作提出的意见建议，不断改进工作。</w:t>
      </w:r>
    </w:p>
    <w:p w14:paraId="4613EF01">
      <w:pPr>
        <w:numPr>
          <w:ilvl w:val="0"/>
          <w:numId w:val="1"/>
        </w:numPr>
        <w:ind w:left="640" w:leftChars="0" w:firstLine="0" w:firstLineChars="0"/>
        <w:rPr>
          <w:rFonts w:hint="eastAsia" w:ascii="宋体" w:hAnsi="宋体" w:eastAsia="黑体" w:cs="黑体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宋体" w:hAnsi="宋体" w:eastAsia="黑体" w:cs="黑体"/>
          <w:color w:val="auto"/>
          <w:kern w:val="0"/>
          <w:sz w:val="32"/>
          <w:szCs w:val="32"/>
          <w:lang w:val="en-US" w:eastAsia="zh-CN" w:bidi="ar"/>
        </w:rPr>
        <w:t>主动公开政府信息情况</w:t>
      </w:r>
    </w:p>
    <w:tbl>
      <w:tblPr>
        <w:tblStyle w:val="3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213C6A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noWrap w:val="0"/>
            <w:vAlign w:val="center"/>
          </w:tcPr>
          <w:p w14:paraId="7E57932E">
            <w:pPr>
              <w:widowControl/>
              <w:jc w:val="center"/>
              <w:rPr>
                <w:rFonts w:ascii="宋体" w:hAnsi="宋体" w:eastAsia="黑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黑体" w:cs="宋体"/>
                <w:color w:val="000000"/>
                <w:kern w:val="0"/>
                <w:sz w:val="21"/>
                <w:szCs w:val="21"/>
              </w:rPr>
              <w:t>第二十条第（一）项</w:t>
            </w:r>
          </w:p>
        </w:tc>
      </w:tr>
      <w:tr w14:paraId="5746F1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DEFF27E">
            <w:pPr>
              <w:widowControl/>
              <w:jc w:val="center"/>
              <w:rPr>
                <w:rFonts w:ascii="宋体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21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43EEAF7">
            <w:pPr>
              <w:widowControl/>
              <w:jc w:val="center"/>
              <w:rPr>
                <w:rFonts w:ascii="宋体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21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65CC722">
            <w:pPr>
              <w:widowControl/>
              <w:jc w:val="center"/>
              <w:rPr>
                <w:rFonts w:ascii="宋体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21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CCACAA1">
            <w:pPr>
              <w:widowControl/>
              <w:jc w:val="center"/>
              <w:rPr>
                <w:rFonts w:ascii="宋体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21"/>
                <w:szCs w:val="21"/>
              </w:rPr>
              <w:t>现行有效件数</w:t>
            </w:r>
          </w:p>
        </w:tc>
      </w:tr>
      <w:tr w14:paraId="1ACA6C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84E6B67">
            <w:pPr>
              <w:widowControl/>
              <w:jc w:val="left"/>
              <w:rPr>
                <w:rFonts w:ascii="宋体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21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5393C03">
            <w:pPr>
              <w:widowControl/>
              <w:jc w:val="center"/>
              <w:rPr>
                <w:rFonts w:hint="default" w:ascii="宋体" w:hAnsi="宋体" w:eastAsia="仿宋_GB2312" w:cs="宋体"/>
                <w:color w:val="FF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840B3BB">
            <w:pPr>
              <w:widowControl/>
              <w:jc w:val="center"/>
              <w:rPr>
                <w:rFonts w:hint="eastAsia" w:ascii="宋体" w:hAnsi="宋体" w:eastAsia="仿宋_GB2312" w:cs="宋体"/>
                <w:color w:val="FF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DE121BB">
            <w:pPr>
              <w:widowControl/>
              <w:jc w:val="center"/>
              <w:rPr>
                <w:rFonts w:hint="eastAsia" w:ascii="宋体" w:hAnsi="宋体" w:eastAsia="仿宋_GB2312" w:cs="Calibri"/>
                <w:color w:val="FF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 w14:paraId="3E9FAF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8123DEB">
            <w:pPr>
              <w:widowControl/>
              <w:jc w:val="left"/>
              <w:rPr>
                <w:rFonts w:ascii="宋体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21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B137F71">
            <w:pPr>
              <w:widowControl/>
              <w:jc w:val="center"/>
              <w:rPr>
                <w:rFonts w:hint="default" w:ascii="宋体" w:hAnsi="宋体" w:eastAsia="仿宋_GB2312" w:cs="宋体"/>
                <w:color w:val="FF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879A91C">
            <w:pPr>
              <w:widowControl/>
              <w:jc w:val="center"/>
              <w:rPr>
                <w:rFonts w:hint="default" w:ascii="宋体" w:hAnsi="宋体" w:eastAsia="仿宋_GB2312" w:cs="宋体"/>
                <w:color w:val="FF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95C2182">
            <w:pPr>
              <w:widowControl/>
              <w:jc w:val="center"/>
              <w:rPr>
                <w:rFonts w:hint="default" w:ascii="宋体" w:hAnsi="宋体" w:eastAsia="仿宋_GB2312" w:cs="宋体"/>
                <w:color w:val="FF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/>
              </w:rPr>
              <w:t>6</w:t>
            </w:r>
          </w:p>
        </w:tc>
      </w:tr>
      <w:tr w14:paraId="1FD17D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noWrap w:val="0"/>
            <w:vAlign w:val="center"/>
          </w:tcPr>
          <w:p w14:paraId="69632250">
            <w:pPr>
              <w:widowControl/>
              <w:jc w:val="center"/>
              <w:rPr>
                <w:rFonts w:ascii="宋体" w:hAnsi="宋体" w:eastAsia="黑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黑体" w:cs="宋体"/>
                <w:color w:val="000000"/>
                <w:kern w:val="0"/>
                <w:sz w:val="21"/>
                <w:szCs w:val="21"/>
              </w:rPr>
              <w:t>第二十条第（五）项</w:t>
            </w:r>
          </w:p>
        </w:tc>
      </w:tr>
      <w:tr w14:paraId="26B3DF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9D237FD">
            <w:pPr>
              <w:widowControl/>
              <w:jc w:val="center"/>
              <w:rPr>
                <w:rFonts w:ascii="宋体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21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 w14:paraId="7806931D">
            <w:pPr>
              <w:widowControl/>
              <w:jc w:val="center"/>
              <w:rPr>
                <w:rFonts w:ascii="宋体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21"/>
                <w:szCs w:val="21"/>
              </w:rPr>
              <w:t>本年处理决定数量</w:t>
            </w:r>
          </w:p>
        </w:tc>
      </w:tr>
      <w:tr w14:paraId="45E969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D73C4B8">
            <w:pPr>
              <w:widowControl/>
              <w:jc w:val="left"/>
              <w:rPr>
                <w:rFonts w:ascii="宋体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21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 w14:paraId="3D820BB4">
            <w:pPr>
              <w:widowControl/>
              <w:jc w:val="center"/>
              <w:rPr>
                <w:rFonts w:hint="default" w:ascii="宋体" w:hAnsi="宋体" w:eastAsia="仿宋_GB2312" w:cs="Calibri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Calibri"/>
                <w:color w:val="000000"/>
                <w:kern w:val="0"/>
                <w:sz w:val="21"/>
                <w:szCs w:val="21"/>
                <w:lang w:val="en-US" w:eastAsia="zh-CN"/>
              </w:rPr>
              <w:t>6353</w:t>
            </w:r>
          </w:p>
        </w:tc>
      </w:tr>
      <w:tr w14:paraId="673351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noWrap w:val="0"/>
            <w:vAlign w:val="center"/>
          </w:tcPr>
          <w:p w14:paraId="1D39214D">
            <w:pPr>
              <w:widowControl/>
              <w:jc w:val="center"/>
              <w:rPr>
                <w:rFonts w:ascii="宋体" w:hAnsi="宋体" w:eastAsia="黑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黑体" w:cs="宋体"/>
                <w:color w:val="000000"/>
                <w:kern w:val="0"/>
                <w:sz w:val="21"/>
                <w:szCs w:val="21"/>
              </w:rPr>
              <w:t>第二十条第（六）项</w:t>
            </w:r>
          </w:p>
        </w:tc>
      </w:tr>
      <w:tr w14:paraId="7AFC39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B4E496F">
            <w:pPr>
              <w:widowControl/>
              <w:jc w:val="center"/>
              <w:rPr>
                <w:rFonts w:ascii="宋体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21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 w14:paraId="5FBAFBF6">
            <w:pPr>
              <w:widowControl/>
              <w:jc w:val="center"/>
              <w:rPr>
                <w:rFonts w:ascii="宋体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21"/>
                <w:szCs w:val="21"/>
              </w:rPr>
              <w:t>本年处理决定数量</w:t>
            </w:r>
          </w:p>
        </w:tc>
      </w:tr>
      <w:tr w14:paraId="16CBC8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DD4905C">
            <w:pPr>
              <w:widowControl/>
              <w:jc w:val="left"/>
              <w:rPr>
                <w:rFonts w:ascii="宋体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21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 w14:paraId="373466ED">
            <w:pPr>
              <w:widowControl/>
              <w:jc w:val="center"/>
              <w:rPr>
                <w:rFonts w:hint="default" w:ascii="宋体" w:hAnsi="宋体" w:eastAsia="仿宋_GB2312" w:cs="Calibri"/>
                <w:color w:val="FF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/>
              </w:rPr>
              <w:t>113</w:t>
            </w:r>
          </w:p>
        </w:tc>
      </w:tr>
      <w:tr w14:paraId="2C7286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C1E0923">
            <w:pPr>
              <w:widowControl/>
              <w:jc w:val="left"/>
              <w:rPr>
                <w:rFonts w:ascii="宋体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21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 w14:paraId="5A31DD71">
            <w:pPr>
              <w:widowControl/>
              <w:jc w:val="center"/>
              <w:rPr>
                <w:rFonts w:hint="default" w:ascii="宋体" w:hAnsi="宋体" w:eastAsia="仿宋_GB2312" w:cs="Calibri"/>
                <w:color w:val="FF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/>
              </w:rPr>
              <w:t>7</w:t>
            </w:r>
          </w:p>
        </w:tc>
      </w:tr>
      <w:tr w14:paraId="621DD6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noWrap w:val="0"/>
            <w:vAlign w:val="center"/>
          </w:tcPr>
          <w:p w14:paraId="64821E00">
            <w:pPr>
              <w:widowControl/>
              <w:jc w:val="center"/>
              <w:rPr>
                <w:rFonts w:ascii="宋体" w:hAnsi="宋体" w:eastAsia="黑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黑体" w:cs="宋体"/>
                <w:color w:val="000000"/>
                <w:kern w:val="0"/>
                <w:sz w:val="21"/>
                <w:szCs w:val="21"/>
              </w:rPr>
              <w:t>第二十条第（八）项</w:t>
            </w:r>
          </w:p>
        </w:tc>
      </w:tr>
      <w:tr w14:paraId="0ABF43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345F271">
            <w:pPr>
              <w:widowControl/>
              <w:jc w:val="center"/>
              <w:rPr>
                <w:rFonts w:ascii="宋体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21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 w14:paraId="40144793">
            <w:pPr>
              <w:widowControl/>
              <w:jc w:val="center"/>
              <w:rPr>
                <w:rFonts w:ascii="宋体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21"/>
                <w:szCs w:val="21"/>
              </w:rPr>
              <w:t>本年收费金额（单位：万元）</w:t>
            </w:r>
          </w:p>
        </w:tc>
      </w:tr>
      <w:tr w14:paraId="07B1F1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CAE7F49">
            <w:pPr>
              <w:widowControl/>
              <w:jc w:val="left"/>
              <w:rPr>
                <w:rFonts w:ascii="宋体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21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 w14:paraId="73F32E32">
            <w:pPr>
              <w:widowControl/>
              <w:jc w:val="center"/>
              <w:rPr>
                <w:rFonts w:hint="default" w:ascii="宋体" w:hAnsi="宋体" w:eastAsia="仿宋_GB2312" w:cs="Calibri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/>
              </w:rPr>
              <w:t>418</w:t>
            </w:r>
          </w:p>
        </w:tc>
      </w:tr>
    </w:tbl>
    <w:p w14:paraId="4AF408E9">
      <w:pPr>
        <w:numPr>
          <w:ilvl w:val="0"/>
          <w:numId w:val="0"/>
        </w:numPr>
        <w:rPr>
          <w:rFonts w:hint="eastAsia" w:ascii="宋体" w:hAnsi="宋体" w:eastAsia="黑体" w:cs="黑体"/>
          <w:color w:val="auto"/>
          <w:kern w:val="0"/>
          <w:sz w:val="32"/>
          <w:szCs w:val="32"/>
          <w:lang w:val="en-US" w:eastAsia="zh-CN" w:bidi="ar"/>
        </w:rPr>
      </w:pPr>
    </w:p>
    <w:p w14:paraId="6C7850B8">
      <w:pPr>
        <w:numPr>
          <w:ilvl w:val="0"/>
          <w:numId w:val="0"/>
        </w:numPr>
        <w:rPr>
          <w:rFonts w:hint="eastAsia" w:ascii="仿宋_GB2312" w:hAnsi="仿宋_GB2312" w:eastAsia="仿宋_GB2312" w:cs="仿宋_GB2312"/>
          <w:color w:val="auto"/>
          <w:kern w:val="0"/>
          <w:sz w:val="21"/>
          <w:szCs w:val="21"/>
          <w:lang w:val="en-US" w:eastAsia="zh-CN" w:bidi="ar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49143343">
      <w:pPr>
        <w:numPr>
          <w:ilvl w:val="0"/>
          <w:numId w:val="0"/>
        </w:numPr>
        <w:ind w:firstLine="640" w:firstLineChars="200"/>
        <w:rPr>
          <w:rFonts w:hint="eastAsia" w:ascii="宋体" w:hAnsi="宋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黑体" w:cs="黑体"/>
          <w:color w:val="auto"/>
          <w:kern w:val="0"/>
          <w:sz w:val="32"/>
          <w:szCs w:val="32"/>
          <w:lang w:val="en-US" w:eastAsia="zh-CN" w:bidi="ar"/>
        </w:rPr>
        <w:t>三、收到和处理政府信息公开申请情况</w:t>
      </w:r>
    </w:p>
    <w:tbl>
      <w:tblPr>
        <w:tblStyle w:val="3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3"/>
        <w:gridCol w:w="3"/>
        <w:gridCol w:w="516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 w14:paraId="4DB3FA7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 w14:paraId="2DA3140F">
            <w:pPr>
              <w:widowControl/>
              <w:jc w:val="center"/>
              <w:rPr>
                <w:rFonts w:hint="eastAsia" w:ascii="楷体_GB2312" w:hAnsi="黑体" w:eastAsia="楷体_GB2312" w:cs="Times New Roman"/>
                <w:kern w:val="0"/>
                <w:sz w:val="21"/>
                <w:szCs w:val="21"/>
              </w:rPr>
            </w:pPr>
            <w:r>
              <w:rPr>
                <w:rFonts w:hint="eastAsia" w:ascii="楷体_GB2312" w:hAnsi="黑体" w:eastAsia="楷体_GB2312" w:cs="Times New Roman"/>
                <w:kern w:val="0"/>
                <w:sz w:val="21"/>
                <w:szCs w:val="21"/>
              </w:rPr>
              <w:t>（本列数据的勾稽关系为：第一项加第二项之和，</w:t>
            </w:r>
          </w:p>
          <w:p w14:paraId="1530C4E5">
            <w:pPr>
              <w:widowControl/>
              <w:jc w:val="center"/>
              <w:rPr>
                <w:rFonts w:ascii="宋体" w:hAnsi="宋体" w:eastAsia="仿宋_GB2312" w:cs="Times New Roman"/>
                <w:w w:val="75"/>
                <w:sz w:val="21"/>
                <w:szCs w:val="21"/>
              </w:rPr>
            </w:pPr>
            <w:r>
              <w:rPr>
                <w:rFonts w:hint="eastAsia" w:ascii="楷体_GB2312" w:hAnsi="黑体" w:eastAsia="楷体_GB2312" w:cs="Times New Roman"/>
                <w:kern w:val="0"/>
                <w:sz w:val="21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20"/>
            <w:noWrap w:val="0"/>
            <w:tcMar>
              <w:left w:w="108" w:type="dxa"/>
              <w:right w:w="108" w:type="dxa"/>
            </w:tcMar>
            <w:vAlign w:val="center"/>
          </w:tcPr>
          <w:p w14:paraId="0ACD9420">
            <w:pPr>
              <w:widowControl/>
              <w:spacing w:line="320" w:lineRule="exact"/>
              <w:jc w:val="center"/>
              <w:rPr>
                <w:rFonts w:ascii="宋体" w:hAnsi="宋体" w:eastAsia="黑体" w:cs="Times New Roman"/>
                <w:w w:val="75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申请人情况</w:t>
            </w:r>
          </w:p>
        </w:tc>
      </w:tr>
      <w:tr w14:paraId="6AB8279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53D96AC9">
            <w:pPr>
              <w:jc w:val="center"/>
              <w:rPr>
                <w:rFonts w:ascii="宋体" w:hAnsi="宋体" w:eastAsia="仿宋_GB2312" w:cs="Times New Roman"/>
                <w:w w:val="75"/>
                <w:sz w:val="21"/>
                <w:szCs w:val="21"/>
              </w:rPr>
            </w:pPr>
          </w:p>
        </w:tc>
        <w:tc>
          <w:tcPr>
            <w:tcW w:w="747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 w14:paraId="42636190">
            <w:pPr>
              <w:widowControl/>
              <w:jc w:val="center"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自然人</w:t>
            </w:r>
          </w:p>
        </w:tc>
        <w:tc>
          <w:tcPr>
            <w:tcW w:w="3000" w:type="dxa"/>
            <w:gridSpan w:val="17"/>
            <w:noWrap w:val="0"/>
            <w:tcMar>
              <w:left w:w="108" w:type="dxa"/>
              <w:right w:w="108" w:type="dxa"/>
            </w:tcMar>
            <w:vAlign w:val="center"/>
          </w:tcPr>
          <w:p w14:paraId="77401E93">
            <w:pPr>
              <w:widowControl/>
              <w:jc w:val="center"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 w14:paraId="7362FB2C">
            <w:pPr>
              <w:widowControl/>
              <w:jc w:val="center"/>
              <w:rPr>
                <w:rFonts w:ascii="宋体" w:hAnsi="宋体" w:eastAsia="黑体" w:cs="Times New Roman"/>
                <w:w w:val="75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总计</w:t>
            </w:r>
          </w:p>
        </w:tc>
      </w:tr>
      <w:tr w14:paraId="2D749C1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67723866">
            <w:pPr>
              <w:jc w:val="center"/>
              <w:rPr>
                <w:rFonts w:ascii="宋体" w:hAnsi="宋体" w:eastAsia="仿宋_GB2312" w:cs="Times New Roman"/>
                <w:w w:val="75"/>
                <w:sz w:val="21"/>
                <w:szCs w:val="21"/>
              </w:rPr>
            </w:pPr>
          </w:p>
        </w:tc>
        <w:tc>
          <w:tcPr>
            <w:tcW w:w="747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6AFCA71D">
            <w:pPr>
              <w:widowControl/>
              <w:jc w:val="center"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540" w:type="dxa"/>
            <w:gridSpan w:val="7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64A1E69F">
            <w:pPr>
              <w:widowControl/>
              <w:spacing w:line="320" w:lineRule="exact"/>
              <w:ind w:left="-162" w:leftChars="-51" w:right="-163" w:rightChars="-51" w:hanging="1"/>
              <w:jc w:val="center"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商业</w:t>
            </w:r>
          </w:p>
          <w:p w14:paraId="7400DC05">
            <w:pPr>
              <w:widowControl/>
              <w:spacing w:line="320" w:lineRule="exact"/>
              <w:ind w:left="-162" w:leftChars="-51" w:right="-163" w:rightChars="-51" w:hanging="1"/>
              <w:jc w:val="center"/>
              <w:rPr>
                <w:rFonts w:hint="eastAsia" w:ascii="黑体" w:hAnsi="黑体" w:eastAsia="黑体" w:cs="Times New Roman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企业</w:t>
            </w:r>
          </w:p>
        </w:tc>
        <w:tc>
          <w:tcPr>
            <w:tcW w:w="540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73C33AD0">
            <w:pPr>
              <w:widowControl/>
              <w:spacing w:line="320" w:lineRule="exact"/>
              <w:ind w:left="-162" w:leftChars="-51" w:right="-163" w:rightChars="-51" w:hanging="1"/>
              <w:jc w:val="center"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科研</w:t>
            </w:r>
          </w:p>
          <w:p w14:paraId="0441B8B9">
            <w:pPr>
              <w:widowControl/>
              <w:spacing w:line="320" w:lineRule="exact"/>
              <w:ind w:left="-162" w:leftChars="-51" w:right="-163" w:rightChars="-51" w:hanging="1"/>
              <w:jc w:val="center"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机构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61E16035">
            <w:pPr>
              <w:widowControl/>
              <w:spacing w:line="320" w:lineRule="exact"/>
              <w:ind w:left="-162" w:leftChars="-51" w:right="-163" w:rightChars="-51" w:hanging="1"/>
              <w:jc w:val="center"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社会公</w:t>
            </w:r>
          </w:p>
          <w:p w14:paraId="0AED35F8">
            <w:pPr>
              <w:widowControl/>
              <w:spacing w:line="320" w:lineRule="exact"/>
              <w:ind w:left="-162" w:leftChars="-51" w:right="-163" w:rightChars="-51" w:hanging="1"/>
              <w:jc w:val="center"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益组织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131DA905">
            <w:pPr>
              <w:widowControl/>
              <w:spacing w:line="320" w:lineRule="exact"/>
              <w:ind w:left="-162" w:leftChars="-51" w:right="-163" w:rightChars="-51" w:hanging="1"/>
              <w:jc w:val="center"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法律服</w:t>
            </w:r>
          </w:p>
          <w:p w14:paraId="7408D99D">
            <w:pPr>
              <w:widowControl/>
              <w:spacing w:line="320" w:lineRule="exact"/>
              <w:ind w:left="-162" w:leftChars="-51" w:right="-163" w:rightChars="-51" w:hanging="1"/>
              <w:jc w:val="center"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务机构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 w14:paraId="444C1CC9">
            <w:pPr>
              <w:widowControl/>
              <w:spacing w:line="320" w:lineRule="exact"/>
              <w:ind w:left="-162" w:leftChars="-51" w:right="-163" w:rightChars="-51" w:hanging="1"/>
              <w:jc w:val="center"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36614C7F">
            <w:pPr>
              <w:jc w:val="center"/>
              <w:rPr>
                <w:rFonts w:ascii="宋体" w:hAnsi="宋体" w:eastAsia="仿宋_GB2312" w:cs="Times New Roman"/>
                <w:w w:val="75"/>
                <w:sz w:val="21"/>
                <w:szCs w:val="21"/>
              </w:rPr>
            </w:pPr>
          </w:p>
        </w:tc>
      </w:tr>
      <w:tr w14:paraId="04FFC2C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6766D957">
            <w:pPr>
              <w:widowControl/>
              <w:rPr>
                <w:rFonts w:ascii="宋体" w:hAnsi="宋体" w:eastAsia="黑体" w:cs="Times New Roman"/>
                <w:color w:val="auto"/>
                <w:w w:val="75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noWrap w:val="0"/>
            <w:tcMar>
              <w:left w:w="108" w:type="dxa"/>
              <w:right w:w="108" w:type="dxa"/>
            </w:tcMar>
            <w:vAlign w:val="center"/>
          </w:tcPr>
          <w:p w14:paraId="1426D56D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11</w:t>
            </w:r>
          </w:p>
        </w:tc>
        <w:tc>
          <w:tcPr>
            <w:tcW w:w="540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41F9A410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5A80590A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29C124B7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187AD9E7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 w14:paraId="12C8B385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2A2DCC7F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11</w:t>
            </w:r>
          </w:p>
        </w:tc>
      </w:tr>
      <w:tr w14:paraId="0E5E72B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615964BC">
            <w:pPr>
              <w:widowControl/>
              <w:rPr>
                <w:rFonts w:ascii="宋体" w:hAnsi="宋体" w:eastAsia="黑体" w:cs="Times New Roman"/>
                <w:color w:val="auto"/>
                <w:w w:val="75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noWrap w:val="0"/>
            <w:tcMar>
              <w:left w:w="108" w:type="dxa"/>
              <w:right w:w="108" w:type="dxa"/>
            </w:tcMar>
            <w:vAlign w:val="center"/>
          </w:tcPr>
          <w:p w14:paraId="534BCDA1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6526E332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314B5D0B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1B6745A1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5A520496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 w14:paraId="3FF25A0B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113839E3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3FDCBD2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 w14:paraId="5248E71C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5A27DF0E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3C2D6F2F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540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560B55AB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noWrap w:val="0"/>
            <w:tcMar>
              <w:left w:w="108" w:type="dxa"/>
              <w:right w:w="108" w:type="dxa"/>
            </w:tcMar>
            <w:vAlign w:val="center"/>
          </w:tcPr>
          <w:p w14:paraId="1BF6CD75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6BC1B740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01A195CB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1F7FE75C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0C66A16F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3</w:t>
            </w:r>
          </w:p>
        </w:tc>
      </w:tr>
      <w:tr w14:paraId="73381EE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3A39C04D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4677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3CD92A3F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）</w:t>
            </w:r>
          </w:p>
        </w:tc>
        <w:tc>
          <w:tcPr>
            <w:tcW w:w="752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036946A6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540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4B36F381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noWrap w:val="0"/>
            <w:tcMar>
              <w:left w:w="108" w:type="dxa"/>
              <w:right w:w="108" w:type="dxa"/>
            </w:tcMar>
            <w:vAlign w:val="center"/>
          </w:tcPr>
          <w:p w14:paraId="58FF22B2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79C71CDD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6E54357E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509F7718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43544105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4</w:t>
            </w:r>
          </w:p>
        </w:tc>
      </w:tr>
      <w:tr w14:paraId="67F4E02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5802C182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 w14:paraId="0C189410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（三）不予公开</w:t>
            </w: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47FE5215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1.属于国家秘密</w:t>
            </w:r>
          </w:p>
        </w:tc>
        <w:tc>
          <w:tcPr>
            <w:tcW w:w="752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10FE3865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423A4AE7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noWrap w:val="0"/>
            <w:tcMar>
              <w:left w:w="108" w:type="dxa"/>
              <w:right w:w="108" w:type="dxa"/>
            </w:tcMar>
            <w:vAlign w:val="center"/>
          </w:tcPr>
          <w:p w14:paraId="3E016C28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7F4F36F6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22389045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207E87FF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53BF6B0A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50B8D2D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7B7CB25E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68BC2266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455442A1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68C9667E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731174FF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noWrap w:val="0"/>
            <w:tcMar>
              <w:left w:w="108" w:type="dxa"/>
              <w:right w:w="108" w:type="dxa"/>
            </w:tcMar>
            <w:vAlign w:val="center"/>
          </w:tcPr>
          <w:p w14:paraId="6523151E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0C6CD591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27156F7D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2816A114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1EAED0FA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780AA69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33576ADA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69669189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79979F62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7E5E6E99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56C492F0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noWrap w:val="0"/>
            <w:tcMar>
              <w:left w:w="108" w:type="dxa"/>
              <w:right w:w="108" w:type="dxa"/>
            </w:tcMar>
            <w:vAlign w:val="center"/>
          </w:tcPr>
          <w:p w14:paraId="3420A119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1C566EFB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61F854AA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151038DC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45187B86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2E07F93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50F5CD09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04F5A053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28758EE2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0A842220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71B465D7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noWrap w:val="0"/>
            <w:tcMar>
              <w:left w:w="108" w:type="dxa"/>
              <w:right w:w="108" w:type="dxa"/>
            </w:tcMar>
            <w:vAlign w:val="center"/>
          </w:tcPr>
          <w:p w14:paraId="3C7FB38D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4C5CC173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1877CEDE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06ECC90D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0F8745D8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000A0A2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4A622CE2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4B994CE5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7FC01A53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27079030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238941D8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3DDA4F01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2293A70A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1BE6A416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47AC308B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69A66EE5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0E8F95B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19BD1680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15307354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2DA7242C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35E5024D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24AEB767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68A82135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5C90C725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2BF6C3C6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223D77F5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407B051B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6309566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14D7D5D4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18308323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7F792A71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7.属于行政执法案卷</w:t>
            </w:r>
          </w:p>
        </w:tc>
        <w:tc>
          <w:tcPr>
            <w:tcW w:w="761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21B3E562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539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1C50DD61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7DEA219D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24C93E8C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3D0A2315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735370D8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66BA3C69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1</w:t>
            </w:r>
          </w:p>
        </w:tc>
      </w:tr>
      <w:tr w14:paraId="240538D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0AA186A8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38C88117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708EE917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5F937840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0622A50C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0E5F009D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1961C84F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45D7401A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5BD765A4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36FE97A0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147A89F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5C2C3C13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 w14:paraId="69F39FE9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（四）无法提供</w:t>
            </w: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4929F724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5"/>
            <w:noWrap w:val="0"/>
            <w:tcMar>
              <w:left w:w="108" w:type="dxa"/>
              <w:right w:w="108" w:type="dxa"/>
            </w:tcMar>
            <w:vAlign w:val="center"/>
          </w:tcPr>
          <w:p w14:paraId="08E071ED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35FE7F14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2B880879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6486DCE4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2F3E207E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67E59110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2834437B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2</w:t>
            </w:r>
          </w:p>
        </w:tc>
      </w:tr>
      <w:tr w14:paraId="4B3F80F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69EA88A1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183F1E9E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7921BAF0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noWrap w:val="0"/>
            <w:tcMar>
              <w:left w:w="108" w:type="dxa"/>
              <w:right w:w="108" w:type="dxa"/>
            </w:tcMar>
            <w:vAlign w:val="center"/>
          </w:tcPr>
          <w:p w14:paraId="60F1D8C8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055FC707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33AB6340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27721DBC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20F38F4D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309B354A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2E1B9EDA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3EC4CD3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164E060C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308EAE72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35CB0998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noWrap w:val="0"/>
            <w:tcMar>
              <w:left w:w="108" w:type="dxa"/>
              <w:right w:w="108" w:type="dxa"/>
            </w:tcMar>
            <w:vAlign w:val="center"/>
          </w:tcPr>
          <w:p w14:paraId="42DA3972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763DA39C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7842BB0D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633EAF85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265258F3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2245941C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76BCE94E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420C7A3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5AD79495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 w14:paraId="7394BFE1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（五）不予处理</w:t>
            </w: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5E373EB2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noWrap w:val="0"/>
            <w:tcMar>
              <w:left w:w="108" w:type="dxa"/>
              <w:right w:w="108" w:type="dxa"/>
            </w:tcMar>
            <w:vAlign w:val="center"/>
          </w:tcPr>
          <w:p w14:paraId="09BB0E8A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13FBF8DB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6EF7434A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75B50D4C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67632C00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26677BDF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4170773A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635C738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3C457C7F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2F1151C8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79B4A978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2.重复申请</w:t>
            </w:r>
          </w:p>
        </w:tc>
        <w:tc>
          <w:tcPr>
            <w:tcW w:w="768" w:type="dxa"/>
            <w:gridSpan w:val="6"/>
            <w:noWrap w:val="0"/>
            <w:tcMar>
              <w:left w:w="108" w:type="dxa"/>
              <w:right w:w="108" w:type="dxa"/>
            </w:tcMar>
            <w:vAlign w:val="center"/>
          </w:tcPr>
          <w:p w14:paraId="1C4BC79A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75C3E9F8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7B27D492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611F25DE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6C1F7083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3F7C4F81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216D63A8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2AA44EE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3FB8CCD5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3C369750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142ACD6C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6"/>
            <w:noWrap w:val="0"/>
            <w:tcMar>
              <w:left w:w="108" w:type="dxa"/>
              <w:right w:w="108" w:type="dxa"/>
            </w:tcMar>
            <w:vAlign w:val="center"/>
          </w:tcPr>
          <w:p w14:paraId="2A72C5A5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07FEBEEF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6BB995BE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1ECA1FC2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07EE113A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778BB73E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17593B47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2FDA662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0679B6EA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19788177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72D1E86D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6"/>
            <w:noWrap w:val="0"/>
            <w:tcMar>
              <w:left w:w="108" w:type="dxa"/>
              <w:right w:w="108" w:type="dxa"/>
            </w:tcMar>
            <w:vAlign w:val="center"/>
          </w:tcPr>
          <w:p w14:paraId="0DD87091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09CAC9E6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314DC26D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7CE1F582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3822CC30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14A818DB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438F3890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24FCBC4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6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4B82E62C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3ACFA326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1E66D132">
            <w:pPr>
              <w:widowControl/>
              <w:spacing w:line="200" w:lineRule="exact"/>
              <w:rPr>
                <w:rFonts w:hint="eastAsia" w:ascii="Times New Roman" w:hAnsi="Times New Roman" w:eastAsia="仿宋_GB2312" w:cs="Times New Roman"/>
                <w:sz w:val="21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2"/>
              </w:rPr>
              <w:t>5.要求行政机关确认或重新</w:t>
            </w:r>
          </w:p>
          <w:p w14:paraId="5075B068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2"/>
              </w:rPr>
              <w:t>出具已获取信息</w:t>
            </w:r>
          </w:p>
        </w:tc>
        <w:tc>
          <w:tcPr>
            <w:tcW w:w="768" w:type="dxa"/>
            <w:gridSpan w:val="6"/>
            <w:noWrap w:val="0"/>
            <w:tcMar>
              <w:left w:w="108" w:type="dxa"/>
              <w:right w:w="108" w:type="dxa"/>
            </w:tcMar>
            <w:vAlign w:val="center"/>
          </w:tcPr>
          <w:p w14:paraId="65079947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77B1A358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6018C8EF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55D1542B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62027477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35B76899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4AF37835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1687012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4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6C27E624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 w14:paraId="518E3B5C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（六）其他处理</w:t>
            </w:r>
          </w:p>
        </w:tc>
        <w:tc>
          <w:tcPr>
            <w:tcW w:w="2976" w:type="dxa"/>
            <w:noWrap w:val="0"/>
            <w:vAlign w:val="center"/>
          </w:tcPr>
          <w:p w14:paraId="5FBFB096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2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6217F74F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5F1FD837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noWrap w:val="0"/>
            <w:tcMar>
              <w:left w:w="108" w:type="dxa"/>
              <w:right w:w="108" w:type="dxa"/>
            </w:tcMar>
            <w:vAlign w:val="center"/>
          </w:tcPr>
          <w:p w14:paraId="3A19A0C5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17E88F66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7DDE2264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50497A42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14CAD101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1968CD1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6F5C99B9">
            <w:pPr>
              <w:rPr>
                <w:rFonts w:ascii="宋体" w:hAnsi="宋体" w:eastAsia="黑体" w:cs="Times New Roman"/>
                <w:color w:val="auto"/>
                <w:w w:val="75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56903381">
            <w:pPr>
              <w:widowControl/>
              <w:spacing w:line="300" w:lineRule="exact"/>
              <w:rPr>
                <w:rFonts w:ascii="宋体" w:hAnsi="宋体" w:eastAsia="黑体" w:cs="Times New Roman"/>
                <w:color w:val="auto"/>
                <w:w w:val="75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noWrap w:val="0"/>
            <w:vAlign w:val="center"/>
          </w:tcPr>
          <w:p w14:paraId="52E18FCD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2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4BEA08EA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25246C8E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noWrap w:val="0"/>
            <w:tcMar>
              <w:left w:w="108" w:type="dxa"/>
              <w:right w:w="108" w:type="dxa"/>
            </w:tcMar>
            <w:vAlign w:val="center"/>
          </w:tcPr>
          <w:p w14:paraId="3D878474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7D22C613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7E47A664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59C97C97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4FF75A8A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78972EE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7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029C81BA">
            <w:pPr>
              <w:rPr>
                <w:rFonts w:ascii="宋体" w:hAnsi="宋体" w:eastAsia="黑体" w:cs="Times New Roman"/>
                <w:color w:val="auto"/>
                <w:w w:val="75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6C48E0B5">
            <w:pPr>
              <w:widowControl/>
              <w:spacing w:line="300" w:lineRule="exact"/>
              <w:rPr>
                <w:rFonts w:ascii="宋体" w:hAnsi="宋体" w:eastAsia="黑体" w:cs="Times New Roman"/>
                <w:color w:val="auto"/>
                <w:w w:val="75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noWrap w:val="0"/>
            <w:vAlign w:val="center"/>
          </w:tcPr>
          <w:p w14:paraId="1B2757F1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3.其他</w:t>
            </w:r>
          </w:p>
        </w:tc>
        <w:tc>
          <w:tcPr>
            <w:tcW w:w="771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39CF3433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5DDFCD96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noWrap w:val="0"/>
            <w:tcMar>
              <w:left w:w="108" w:type="dxa"/>
              <w:right w:w="108" w:type="dxa"/>
            </w:tcMar>
            <w:vAlign w:val="center"/>
          </w:tcPr>
          <w:p w14:paraId="55A4FCEF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6DA2036D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559E9A44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3F62331D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0B429897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091EC41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52D94173">
            <w:pPr>
              <w:rPr>
                <w:rFonts w:ascii="宋体" w:hAnsi="宋体" w:eastAsia="黑体" w:cs="Times New Roman"/>
                <w:color w:val="auto"/>
                <w:w w:val="75"/>
                <w:sz w:val="21"/>
                <w:szCs w:val="21"/>
              </w:rPr>
            </w:pPr>
          </w:p>
        </w:tc>
        <w:tc>
          <w:tcPr>
            <w:tcW w:w="4677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5925AE8E">
            <w:pPr>
              <w:widowControl/>
              <w:spacing w:line="300" w:lineRule="exact"/>
              <w:rPr>
                <w:rFonts w:ascii="宋体" w:hAnsi="宋体" w:eastAsia="黑体" w:cs="Times New Roman"/>
                <w:color w:val="auto"/>
                <w:w w:val="75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（七）总计</w:t>
            </w:r>
          </w:p>
        </w:tc>
        <w:tc>
          <w:tcPr>
            <w:tcW w:w="761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690A4ECC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10</w:t>
            </w:r>
          </w:p>
        </w:tc>
        <w:tc>
          <w:tcPr>
            <w:tcW w:w="539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156F3733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3CF5086C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0FC25921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0E76A0CE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0952AF2D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175F34EC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10</w:t>
            </w:r>
          </w:p>
        </w:tc>
      </w:tr>
      <w:tr w14:paraId="7F9C43F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04B3DE59">
            <w:pPr>
              <w:widowControl/>
              <w:spacing w:line="300" w:lineRule="exact"/>
              <w:rPr>
                <w:rFonts w:ascii="宋体" w:hAnsi="宋体" w:eastAsia="黑体" w:cs="Times New Roman"/>
                <w:color w:val="auto"/>
                <w:w w:val="75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6A841A97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539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7929AFC0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16B7E418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2F8A80F4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18079917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25642A53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6FA666FB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1</w:t>
            </w:r>
          </w:p>
        </w:tc>
      </w:tr>
    </w:tbl>
    <w:p w14:paraId="75E807A2">
      <w:pPr>
        <w:numPr>
          <w:ilvl w:val="0"/>
          <w:numId w:val="0"/>
        </w:numPr>
        <w:ind w:left="640" w:leftChars="0"/>
        <w:rPr>
          <w:rFonts w:hint="eastAsia" w:ascii="宋体" w:hAnsi="宋体" w:eastAsia="黑体" w:cs="黑体"/>
          <w:color w:val="auto"/>
          <w:kern w:val="0"/>
          <w:sz w:val="32"/>
          <w:szCs w:val="32"/>
          <w:lang w:val="en-US" w:eastAsia="zh-CN" w:bidi="ar"/>
        </w:rPr>
      </w:pPr>
    </w:p>
    <w:p w14:paraId="6F83DBCC">
      <w:pPr>
        <w:numPr>
          <w:ilvl w:val="0"/>
          <w:numId w:val="0"/>
        </w:numPr>
        <w:ind w:left="640" w:leftChars="0"/>
        <w:rPr>
          <w:rFonts w:hint="eastAsia" w:ascii="宋体" w:hAnsi="宋体" w:eastAsia="黑体" w:cs="黑体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宋体" w:hAnsi="宋体" w:eastAsia="黑体" w:cs="黑体"/>
          <w:color w:val="auto"/>
          <w:kern w:val="0"/>
          <w:sz w:val="32"/>
          <w:szCs w:val="32"/>
          <w:lang w:val="en-US" w:eastAsia="zh-CN" w:bidi="ar"/>
        </w:rPr>
        <w:t>四、政府信息公开行政复议、行政诉讼情况</w:t>
      </w:r>
    </w:p>
    <w:tbl>
      <w:tblPr>
        <w:tblStyle w:val="3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5E8A76A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0368992">
            <w:pPr>
              <w:widowControl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F7F6520">
            <w:pPr>
              <w:widowControl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行政诉讼</w:t>
            </w:r>
          </w:p>
        </w:tc>
      </w:tr>
      <w:tr w14:paraId="3AED514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68661DB">
            <w:pPr>
              <w:widowControl/>
              <w:ind w:left="-227" w:leftChars="-71" w:right="-259" w:rightChars="-81"/>
              <w:jc w:val="center"/>
              <w:rPr>
                <w:rFonts w:ascii="宋体" w:hAnsi="宋体" w:eastAsia="黑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结果</w:t>
            </w:r>
          </w:p>
          <w:p w14:paraId="04521D86">
            <w:pPr>
              <w:widowControl/>
              <w:ind w:left="-227" w:leftChars="-71" w:right="-259" w:rightChars="-81"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CCC1706">
            <w:pPr>
              <w:widowControl/>
              <w:ind w:right="-202" w:rightChars="-63"/>
              <w:jc w:val="both"/>
              <w:rPr>
                <w:rFonts w:ascii="宋体" w:hAnsi="宋体" w:eastAsia="黑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结果</w:t>
            </w:r>
          </w:p>
          <w:p w14:paraId="342C1B4C">
            <w:pPr>
              <w:widowControl/>
              <w:ind w:right="-202" w:rightChars="-63"/>
              <w:jc w:val="both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C3C9518">
            <w:pPr>
              <w:widowControl/>
              <w:ind w:left="-125" w:leftChars="-39" w:right="-147" w:rightChars="-46"/>
              <w:jc w:val="center"/>
              <w:rPr>
                <w:rFonts w:ascii="宋体" w:hAnsi="宋体" w:eastAsia="黑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其他</w:t>
            </w:r>
          </w:p>
          <w:p w14:paraId="363FC1A3">
            <w:pPr>
              <w:widowControl/>
              <w:ind w:left="-125" w:leftChars="-39" w:right="-147" w:rightChars="-46"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606F527">
            <w:pPr>
              <w:widowControl/>
              <w:ind w:left="-179" w:leftChars="-56" w:right="-179" w:rightChars="-56"/>
              <w:jc w:val="center"/>
              <w:rPr>
                <w:rFonts w:ascii="宋体" w:hAnsi="宋体" w:eastAsia="黑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尚未</w:t>
            </w:r>
          </w:p>
          <w:p w14:paraId="1C59DBA3">
            <w:pPr>
              <w:widowControl/>
              <w:ind w:left="-179" w:leftChars="-56" w:right="-179" w:rightChars="-56"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BEFEB8A">
            <w:pPr>
              <w:widowControl/>
              <w:spacing w:line="320" w:lineRule="exact"/>
              <w:jc w:val="center"/>
              <w:rPr>
                <w:rFonts w:ascii="宋体" w:hAnsi="宋体" w:eastAsia="黑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总</w:t>
            </w:r>
          </w:p>
          <w:p w14:paraId="2FA229FC">
            <w:pPr>
              <w:widowControl/>
              <w:spacing w:line="320" w:lineRule="exact"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2BFD526">
            <w:pPr>
              <w:widowControl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EA2B49C">
            <w:pPr>
              <w:widowControl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bookmarkStart w:id="9" w:name="_Hlk67039688"/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4532E67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D60CC71">
            <w:pPr>
              <w:rPr>
                <w:rFonts w:ascii="宋体" w:hAnsi="宋体" w:eastAsia="黑体" w:cs="Times New Roman"/>
                <w:sz w:val="24"/>
                <w:szCs w:val="22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F95D14B">
            <w:pPr>
              <w:rPr>
                <w:rFonts w:ascii="宋体" w:hAnsi="宋体" w:eastAsia="黑体" w:cs="Times New Roman"/>
                <w:sz w:val="24"/>
                <w:szCs w:val="22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723EE02">
            <w:pPr>
              <w:rPr>
                <w:rFonts w:ascii="宋体" w:hAnsi="宋体" w:eastAsia="黑体" w:cs="Times New Roman"/>
                <w:sz w:val="24"/>
                <w:szCs w:val="22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A53B9E4">
            <w:pPr>
              <w:rPr>
                <w:rFonts w:ascii="宋体" w:hAnsi="宋体" w:eastAsia="黑体" w:cs="Times New Roman"/>
                <w:sz w:val="24"/>
                <w:szCs w:val="22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AEC25A6">
            <w:pPr>
              <w:rPr>
                <w:rFonts w:ascii="宋体" w:hAnsi="宋体" w:eastAsia="黑体" w:cs="Times New Roman"/>
                <w:sz w:val="24"/>
                <w:szCs w:val="22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5ABCF89">
            <w:pPr>
              <w:widowControl/>
              <w:ind w:left="-160" w:leftChars="-50" w:right="-192" w:rightChars="-60"/>
              <w:jc w:val="center"/>
              <w:rPr>
                <w:rFonts w:ascii="宋体" w:hAnsi="宋体" w:eastAsia="黑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结果</w:t>
            </w:r>
          </w:p>
          <w:p w14:paraId="644B9F2A">
            <w:pPr>
              <w:widowControl/>
              <w:ind w:left="-160" w:leftChars="-50" w:right="-192" w:rightChars="-60"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C7DDA4F">
            <w:pPr>
              <w:widowControl/>
              <w:ind w:left="-131" w:leftChars="-41" w:right="-134" w:rightChars="-42"/>
              <w:jc w:val="center"/>
              <w:rPr>
                <w:rFonts w:ascii="宋体" w:hAnsi="宋体" w:eastAsia="黑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结果</w:t>
            </w:r>
          </w:p>
          <w:p w14:paraId="076C7B7D">
            <w:pPr>
              <w:widowControl/>
              <w:ind w:left="-131" w:leftChars="-41" w:right="-134" w:rightChars="-42"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DB9DE7B">
            <w:pPr>
              <w:widowControl/>
              <w:ind w:left="-192" w:leftChars="-60" w:right="-208" w:rightChars="-65"/>
              <w:jc w:val="center"/>
              <w:rPr>
                <w:rFonts w:ascii="宋体" w:hAnsi="宋体" w:eastAsia="黑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其他</w:t>
            </w:r>
          </w:p>
          <w:p w14:paraId="726F0040">
            <w:pPr>
              <w:widowControl/>
              <w:ind w:left="-192" w:leftChars="-60" w:right="-208" w:rightChars="-65"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7669D55">
            <w:pPr>
              <w:widowControl/>
              <w:ind w:left="-250" w:leftChars="-78" w:right="-234" w:rightChars="-73"/>
              <w:jc w:val="center"/>
              <w:rPr>
                <w:rFonts w:ascii="宋体" w:hAnsi="宋体" w:eastAsia="黑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尚未</w:t>
            </w:r>
          </w:p>
          <w:p w14:paraId="16603237">
            <w:pPr>
              <w:widowControl/>
              <w:ind w:left="-250" w:leftChars="-78" w:right="-234" w:rightChars="-73"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63A27EC">
            <w:pPr>
              <w:widowControl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944AE91">
            <w:pPr>
              <w:widowControl/>
              <w:ind w:left="-150" w:leftChars="-47" w:right="-118" w:rightChars="-37"/>
              <w:jc w:val="center"/>
              <w:rPr>
                <w:rFonts w:ascii="宋体" w:hAnsi="宋体" w:eastAsia="黑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结果</w:t>
            </w:r>
          </w:p>
          <w:p w14:paraId="5E727528">
            <w:pPr>
              <w:widowControl/>
              <w:ind w:left="-150" w:leftChars="-47" w:right="-118" w:rightChars="-37"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199C247">
            <w:pPr>
              <w:widowControl/>
              <w:ind w:left="-208" w:leftChars="-65" w:right="-189" w:rightChars="-59"/>
              <w:jc w:val="center"/>
              <w:rPr>
                <w:rFonts w:ascii="宋体" w:hAnsi="宋体" w:eastAsia="黑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结果</w:t>
            </w:r>
          </w:p>
          <w:p w14:paraId="3B2BEB35">
            <w:pPr>
              <w:widowControl/>
              <w:ind w:left="-208" w:leftChars="-65" w:right="-189" w:rightChars="-59"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37A8F9B">
            <w:pPr>
              <w:widowControl/>
              <w:ind w:left="-265" w:leftChars="-83" w:right="-205" w:rightChars="-64" w:hanging="1"/>
              <w:jc w:val="center"/>
              <w:rPr>
                <w:rFonts w:ascii="宋体" w:hAnsi="宋体" w:eastAsia="黑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其他</w:t>
            </w:r>
          </w:p>
          <w:p w14:paraId="5FE2908B">
            <w:pPr>
              <w:widowControl/>
              <w:ind w:left="-265" w:leftChars="-83" w:right="-205" w:rightChars="-64" w:hanging="1"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484BB1B">
            <w:pPr>
              <w:widowControl/>
              <w:ind w:left="-104" w:leftChars="-33" w:right="-160" w:rightChars="-50" w:hanging="2" w:hangingChars="1"/>
              <w:jc w:val="center"/>
              <w:rPr>
                <w:rFonts w:ascii="宋体" w:hAnsi="宋体" w:eastAsia="黑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尚未</w:t>
            </w:r>
          </w:p>
          <w:p w14:paraId="0554C8AE">
            <w:pPr>
              <w:widowControl/>
              <w:ind w:left="-104" w:leftChars="-33" w:right="-160" w:rightChars="-50" w:hanging="2" w:hangingChars="1"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F27807E">
            <w:pPr>
              <w:widowControl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总计</w:t>
            </w:r>
          </w:p>
        </w:tc>
      </w:tr>
      <w:tr w14:paraId="07F4A74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FBF46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0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7F261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00" w:lineRule="exact"/>
              <w:jc w:val="center"/>
              <w:textAlignment w:val="auto"/>
              <w:rPr>
                <w:rFonts w:hint="default" w:ascii="宋体" w:hAnsi="宋体" w:eastAsia="宋体" w:cs="宋体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  <w:t>1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CA4DE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0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862F6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0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27AE2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00" w:lineRule="exact"/>
              <w:jc w:val="center"/>
              <w:textAlignment w:val="auto"/>
              <w:rPr>
                <w:rFonts w:hint="default" w:ascii="宋体" w:hAnsi="宋体" w:eastAsia="宋体" w:cs="宋体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  <w:t>1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7383E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0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38E24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0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927EF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0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72310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0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FBFD2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0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DB329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0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C3701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0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  <w:t>2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760BB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0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87D3D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0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1EB0D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0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  <w:t>2</w:t>
            </w:r>
          </w:p>
        </w:tc>
      </w:tr>
    </w:tbl>
    <w:p w14:paraId="03207BA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640" w:leftChars="0"/>
        <w:textAlignment w:val="auto"/>
        <w:rPr>
          <w:rFonts w:hint="default" w:ascii="宋体" w:hAnsi="宋体" w:eastAsia="黑体" w:cs="黑体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宋体" w:hAnsi="宋体" w:eastAsia="黑体" w:cs="黑体"/>
          <w:color w:val="auto"/>
          <w:kern w:val="0"/>
          <w:sz w:val="32"/>
          <w:szCs w:val="32"/>
          <w:lang w:val="en-US" w:eastAsia="zh-CN" w:bidi="ar"/>
        </w:rPr>
        <w:t>五、</w:t>
      </w:r>
      <w:r>
        <w:rPr>
          <w:rFonts w:hint="default" w:ascii="宋体" w:hAnsi="宋体" w:eastAsia="黑体" w:cs="黑体"/>
          <w:color w:val="auto"/>
          <w:kern w:val="0"/>
          <w:sz w:val="32"/>
          <w:szCs w:val="32"/>
          <w:lang w:val="en-US" w:eastAsia="zh-CN" w:bidi="ar"/>
        </w:rPr>
        <w:t>存在的主要问题及改进情况</w:t>
      </w:r>
    </w:p>
    <w:p w14:paraId="7145E1F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2025年，对照国家、省、市关于政务公开工作各项部署要求，本单位工作仍存在一些短板和不足，需在今后的工作中加以改进。</w:t>
      </w:r>
    </w:p>
    <w:p w14:paraId="183352F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宋体" w:hAnsi="宋体" w:eastAsia="仿宋_GB2312" w:cs="仿宋_GB2312"/>
        </w:rPr>
      </w:pPr>
      <w:r>
        <w:rPr>
          <w:rFonts w:hint="eastAsia" w:ascii="宋体" w:hAnsi="宋体" w:eastAsia="楷体_GB2312" w:cs="楷体_GB2312"/>
          <w:b w:val="0"/>
          <w:bCs/>
          <w:color w:val="000000"/>
          <w:sz w:val="32"/>
          <w:szCs w:val="32"/>
          <w:lang w:val="en-US" w:eastAsia="zh-CN"/>
        </w:rPr>
        <w:t>（一）存在问题。</w:t>
      </w:r>
      <w:r>
        <w:rPr>
          <w:rFonts w:hint="eastAsia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  <w:t>一是重点领域信息公开深度有待拓展。在重大建设项目批准与实施、公共资源配置等社会关注度高的重点领域，信息公开的时效性和易用性仍有提升空间。部分公开内容较为宏观，过程性与结果性信息更新不够及时，不便于公众全面了解和有效监督。二是公开平台互动功能应用不足。管委网站、政务新媒体的在线互动、征集调查等功能模块使用频率和实效性有待提高，对于公众留言的响应速度和答复质量需进一步优化。</w:t>
      </w:r>
    </w:p>
    <w:p w14:paraId="2AA2907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宋体" w:hAnsi="宋体" w:eastAsia="仿宋_GB2312" w:cs="仿宋_GB2312"/>
        </w:rPr>
      </w:pPr>
      <w:r>
        <w:rPr>
          <w:rFonts w:hint="eastAsia" w:ascii="宋体" w:hAnsi="宋体" w:eastAsia="楷体_GB2312" w:cs="楷体_GB2312"/>
          <w:color w:val="auto"/>
          <w:kern w:val="2"/>
          <w:sz w:val="32"/>
          <w:szCs w:val="32"/>
          <w:lang w:val="en-US" w:eastAsia="zh-CN" w:bidi="ar-SA"/>
        </w:rPr>
        <w:t>（二）改进措施。</w:t>
      </w:r>
      <w:r>
        <w:rPr>
          <w:rFonts w:hint="eastAsia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  <w:t>推进重点领域信息公开“深化细化”。根据《2025年山东省政务公开效能监测实施方案》中的监测要点，结合本单位实际，完善相关领域的公开内容。强化内部协同，明确相关单位在信息产生、审核、提供方面的责任，确保应公开尽公开。探索运用数据图表、项目地图等形式，增强重点领域信息的可读性和可理解性。二是强化公开平台互动服务效能。加强对政务新媒体留言评论的分析研判和反馈。建立健全线上线下融合的公众参与机制，对涉及公众切身利益的重大决策，广泛听取意见。</w:t>
      </w:r>
    </w:p>
    <w:p w14:paraId="1DA19E8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640" w:leftChars="0"/>
        <w:textAlignment w:val="auto"/>
        <w:rPr>
          <w:rFonts w:hint="default" w:ascii="宋体" w:hAnsi="宋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宋体" w:hAnsi="宋体" w:eastAsia="黑体" w:cs="黑体"/>
          <w:b w:val="0"/>
          <w:bCs/>
          <w:sz w:val="32"/>
          <w:szCs w:val="32"/>
          <w:lang w:val="en-US" w:eastAsia="zh-CN"/>
        </w:rPr>
        <w:t>六、其他需要报告的事项</w:t>
      </w:r>
    </w:p>
    <w:p w14:paraId="2AA86C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宋体" w:hAnsi="宋体" w:eastAsia="楷体_GB2312" w:cs="楷体_GB2312"/>
          <w:b w:val="0"/>
          <w:bCs/>
          <w:color w:val="000000"/>
          <w:sz w:val="32"/>
          <w:szCs w:val="32"/>
          <w:lang w:val="en-US" w:eastAsia="zh-CN"/>
        </w:rPr>
      </w:pPr>
      <w:r>
        <w:rPr>
          <w:rFonts w:hint="eastAsia" w:ascii="宋体" w:hAnsi="宋体" w:eastAsia="楷体_GB2312" w:cs="楷体_GB2312"/>
          <w:b w:val="0"/>
          <w:bCs/>
          <w:color w:val="000000"/>
          <w:sz w:val="32"/>
          <w:szCs w:val="32"/>
          <w:lang w:val="en-US" w:eastAsia="zh-CN"/>
        </w:rPr>
        <w:t>（一）收取信息处理费情况</w:t>
      </w:r>
    </w:p>
    <w:p w14:paraId="4B4FAC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  <w:t>2025年威海临港经济技术开发区管理委员</w:t>
      </w:r>
      <w:r>
        <w:rPr>
          <w:rFonts w:hint="eastAsia" w:ascii="宋体" w:hAnsi="宋体" w:cs="仿宋_GB2312"/>
          <w:color w:val="auto"/>
          <w:kern w:val="2"/>
          <w:sz w:val="32"/>
          <w:szCs w:val="32"/>
          <w:lang w:val="en-US" w:eastAsia="zh-CN" w:bidi="ar-SA"/>
        </w:rPr>
        <w:t>会</w:t>
      </w:r>
      <w:r>
        <w:rPr>
          <w:rFonts w:hint="eastAsia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  <w:t>未收取政府信息公开信息处理费。</w:t>
      </w:r>
    </w:p>
    <w:p w14:paraId="26A25B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宋体" w:hAnsi="宋体" w:eastAsia="楷体_GB2312" w:cs="楷体_GB2312"/>
          <w:b w:val="0"/>
          <w:bCs/>
          <w:color w:val="000000"/>
          <w:sz w:val="32"/>
          <w:szCs w:val="32"/>
          <w:lang w:val="en-US" w:eastAsia="zh-CN"/>
        </w:rPr>
      </w:pPr>
      <w:r>
        <w:rPr>
          <w:rFonts w:hint="eastAsia" w:ascii="宋体" w:hAnsi="宋体" w:eastAsia="楷体_GB2312" w:cs="楷体_GB2312"/>
          <w:b w:val="0"/>
          <w:bCs/>
          <w:color w:val="000000"/>
          <w:sz w:val="32"/>
          <w:szCs w:val="32"/>
          <w:lang w:val="en-US" w:eastAsia="zh-CN"/>
        </w:rPr>
        <w:t>（二）办理人大代表建议、政协委员提案情况</w:t>
      </w:r>
    </w:p>
    <w:p w14:paraId="33AA79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  <w:t>202</w:t>
      </w:r>
      <w:r>
        <w:rPr>
          <w:rFonts w:hint="eastAsia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  <w:t>5年我区未承办人大代表建议和政协委员提案。</w:t>
      </w:r>
    </w:p>
    <w:p w14:paraId="0A9E80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宋体" w:hAnsi="宋体" w:eastAsia="楷体_GB2312" w:cs="楷体_GB2312"/>
          <w:b w:val="0"/>
          <w:bCs/>
          <w:color w:val="000000"/>
          <w:sz w:val="32"/>
          <w:szCs w:val="32"/>
          <w:lang w:val="en-US" w:eastAsia="zh-CN"/>
        </w:rPr>
      </w:pPr>
      <w:r>
        <w:rPr>
          <w:rFonts w:hint="eastAsia" w:ascii="宋体" w:hAnsi="宋体" w:eastAsia="楷体_GB2312" w:cs="楷体_GB2312"/>
          <w:b w:val="0"/>
          <w:bCs/>
          <w:color w:val="000000"/>
          <w:sz w:val="32"/>
          <w:szCs w:val="32"/>
          <w:lang w:val="en-US" w:eastAsia="zh-CN"/>
        </w:rPr>
        <w:t>（三）政务公开工作要点落实情况</w:t>
      </w:r>
    </w:p>
    <w:p w14:paraId="1ED379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  <w:t>2025年，本单位严格按照上级相关部署要求，坚持“围绕中心、服务大局、精准施策、务求实效”的原则，将各项要点任务分解细化、压实责任、强化督导，全力推动政务公开工作提质增效。</w:t>
      </w:r>
    </w:p>
    <w:p w14:paraId="79FB79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宋体" w:hAnsi="宋体" w:eastAsia="楷体_GB2312" w:cs="楷体_GB2312"/>
          <w:b w:val="0"/>
          <w:bCs/>
          <w:color w:val="000000"/>
          <w:sz w:val="32"/>
          <w:szCs w:val="32"/>
          <w:lang w:val="en-US" w:eastAsia="zh-CN"/>
        </w:rPr>
      </w:pPr>
      <w:r>
        <w:rPr>
          <w:rFonts w:hint="eastAsia" w:ascii="宋体" w:hAnsi="宋体" w:eastAsia="楷体_GB2312" w:cs="楷体_GB2312"/>
          <w:b w:val="0"/>
          <w:bCs/>
          <w:color w:val="000000"/>
          <w:sz w:val="32"/>
          <w:szCs w:val="32"/>
          <w:lang w:val="en-US" w:eastAsia="zh-CN"/>
        </w:rPr>
        <w:t>（四）创新工作开展情况</w:t>
      </w:r>
    </w:p>
    <w:p w14:paraId="3BB479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default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  <w:t>2025年，临港区</w:t>
      </w:r>
      <w:r>
        <w:rPr>
          <w:rFonts w:hint="eastAsia" w:ascii="宋体" w:hAnsi="宋体" w:cs="仿宋_GB2312"/>
          <w:color w:val="auto"/>
          <w:kern w:val="2"/>
          <w:sz w:val="32"/>
          <w:szCs w:val="32"/>
          <w:lang w:val="en-US" w:eastAsia="zh-CN" w:bidi="ar-SA"/>
        </w:rPr>
        <w:t>不断提升政务公开数智化水平，</w:t>
      </w:r>
      <w:r>
        <w:rPr>
          <w:rFonts w:hint="eastAsia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  <w:t>聚焦</w:t>
      </w:r>
      <w:r>
        <w:rPr>
          <w:rFonts w:hint="eastAsia" w:ascii="宋体" w:hAnsi="宋体" w:cs="仿宋_GB2312"/>
          <w:color w:val="auto"/>
          <w:kern w:val="2"/>
          <w:sz w:val="32"/>
          <w:szCs w:val="32"/>
          <w:lang w:val="en-US" w:eastAsia="zh-CN" w:bidi="ar-SA"/>
        </w:rPr>
        <w:t>工程项目建设审批领域</w:t>
      </w:r>
      <w:r>
        <w:rPr>
          <w:rFonts w:hint="eastAsia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  <w:t>，打造了“临港AI项目管家”等三大智能体，以AI智能技术为支撑全面提升</w:t>
      </w:r>
      <w:r>
        <w:rPr>
          <w:rFonts w:hint="eastAsia" w:ascii="宋体" w:hAnsi="宋体" w:cs="仿宋_GB2312"/>
          <w:color w:val="auto"/>
          <w:kern w:val="2"/>
          <w:sz w:val="32"/>
          <w:szCs w:val="32"/>
          <w:lang w:val="en-US" w:eastAsia="zh-CN" w:bidi="ar-SA"/>
        </w:rPr>
        <w:t>行政效能</w:t>
      </w:r>
      <w:r>
        <w:rPr>
          <w:rFonts w:hint="eastAsia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  <w:t>。“临港AI项目管家”归集了工程领域700余件政策文件，优化2300余条疑难解答，嵌入收费计算与能耗评估算法，通过微信小程序提供24小时“秒级响应”服务，实现“企业跑腿问”到“系统精准导”的转变。AI智能体</w:t>
      </w:r>
      <w:r>
        <w:rPr>
          <w:rFonts w:hint="eastAsia" w:ascii="宋体" w:hAnsi="宋体" w:cs="仿宋_GB2312"/>
          <w:color w:val="auto"/>
          <w:kern w:val="2"/>
          <w:sz w:val="32"/>
          <w:szCs w:val="32"/>
          <w:lang w:val="en-US" w:eastAsia="zh-CN" w:bidi="ar-SA"/>
        </w:rPr>
        <w:t>的</w:t>
      </w:r>
      <w:r>
        <w:rPr>
          <w:rFonts w:hint="eastAsia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  <w:t>投入使用，</w:t>
      </w:r>
      <w:r>
        <w:rPr>
          <w:rFonts w:hint="eastAsia" w:ascii="宋体" w:hAnsi="宋体" w:cs="仿宋_GB2312"/>
          <w:color w:val="auto"/>
          <w:kern w:val="2"/>
          <w:sz w:val="32"/>
          <w:szCs w:val="32"/>
          <w:lang w:val="en-US" w:eastAsia="zh-CN" w:bidi="ar-SA"/>
        </w:rPr>
        <w:t>使</w:t>
      </w:r>
      <w:r>
        <w:rPr>
          <w:rFonts w:hint="eastAsia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  <w:t>企业</w:t>
      </w:r>
      <w:r>
        <w:rPr>
          <w:rFonts w:hint="eastAsia" w:ascii="宋体" w:hAnsi="宋体" w:cs="仿宋_GB2312"/>
          <w:color w:val="auto"/>
          <w:kern w:val="2"/>
          <w:sz w:val="32"/>
          <w:szCs w:val="32"/>
          <w:lang w:val="en-US" w:eastAsia="zh-CN" w:bidi="ar-SA"/>
        </w:rPr>
        <w:t>办事的便捷感显著提升，进一步赋能我区经济高质量发展</w:t>
      </w:r>
      <w:r>
        <w:rPr>
          <w:rFonts w:hint="eastAsia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53C126C"/>
    <w:multiLevelType w:val="singleLevel"/>
    <w:tmpl w:val="A53C126C"/>
    <w:lvl w:ilvl="0" w:tentative="0">
      <w:start w:val="1"/>
      <w:numFmt w:val="chineseCounting"/>
      <w:suff w:val="nothing"/>
      <w:lvlText w:val="%1、"/>
      <w:lvlJc w:val="left"/>
      <w:pPr>
        <w:ind w:left="640" w:leftChars="0" w:firstLine="0" w:firstLineChars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0FA7FA0"/>
    <w:rsid w:val="15E56E19"/>
    <w:rsid w:val="1BE0085A"/>
    <w:rsid w:val="2D002054"/>
    <w:rsid w:val="2D8531AB"/>
    <w:rsid w:val="2D8B592C"/>
    <w:rsid w:val="302A7846"/>
    <w:rsid w:val="37336536"/>
    <w:rsid w:val="3B7D2AA6"/>
    <w:rsid w:val="3F0E2037"/>
    <w:rsid w:val="44D3314F"/>
    <w:rsid w:val="491D47AE"/>
    <w:rsid w:val="4CF237CB"/>
    <w:rsid w:val="50202D39"/>
    <w:rsid w:val="54BF3AFB"/>
    <w:rsid w:val="5574381A"/>
    <w:rsid w:val="56B741C2"/>
    <w:rsid w:val="58685D69"/>
    <w:rsid w:val="5E840471"/>
    <w:rsid w:val="5E9D368F"/>
    <w:rsid w:val="61D648AA"/>
    <w:rsid w:val="639C7B5C"/>
    <w:rsid w:val="67031D97"/>
    <w:rsid w:val="682420F2"/>
    <w:rsid w:val="687A2727"/>
    <w:rsid w:val="6A191BFF"/>
    <w:rsid w:val="6BBA0725"/>
    <w:rsid w:val="776102A2"/>
    <w:rsid w:val="784A5E00"/>
    <w:rsid w:val="788E5BCE"/>
    <w:rsid w:val="7B026F8F"/>
    <w:rsid w:val="7D1C77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仿宋_GB2312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paragraph" w:customStyle="1" w:styleId="6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2937</Words>
  <Characters>3072</Characters>
  <Lines>0</Lines>
  <Paragraphs>0</Paragraphs>
  <TotalTime>20</TotalTime>
  <ScaleCrop>false</ScaleCrop>
  <LinksUpToDate>false</LinksUpToDate>
  <CharactersWithSpaces>3072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2026-01-27T01:09:00Z</dcterms:created>
  <dc:creator>Administrator</dc:creator>
  <cp:lastModifiedBy>好姑娘万丈光芒 </cp:lastModifiedBy>
  <dcterms:modified xsi:type="dcterms:W3CDTF">2026-03-20T01:36:59Z</dcterms:modified>
  <dc:title>威海临港经济技术开发区管理委员会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eyJoZGlkIjoiMTBmM2M3ZGIyZjhhMDFkZGNlYjdhMzYxNTcxOTIzNDMiLCJ1c2VySWQiOiIyNTkyMTI5MDUifQ==</vt:lpwstr>
  </property>
  <property fmtid="{D5CDD505-2E9C-101B-9397-08002B2CF9AE}" pid="4" name="ICV">
    <vt:lpwstr>4E6E2AAE837145289B8FA2038AF9ED44_13</vt:lpwstr>
  </property>
</Properties>
</file>