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724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outlineLvl w:val="9"/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威海临港经济技术开发区管理委员会</w:t>
      </w:r>
    </w:p>
    <w:p w14:paraId="72DC79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outlineLvl w:val="9"/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2025年政府信息公开工作年度报告</w:t>
      </w:r>
    </w:p>
    <w:p w14:paraId="79719C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</w:p>
    <w:p w14:paraId="3A8C81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年威海临港经济技术开发区管理委员会政府信息公开工作实际，编制发布本报告。</w:t>
      </w:r>
    </w:p>
    <w:p w14:paraId="3F3703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eastAsia" w:ascii="宋体" w:hAnsi="宋体" w:eastAsia="仿宋_GB2312" w:cs="Times New Roman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年1月1日到12月31日止。报告电子版可从威海临港经济技术开发区管委会网站（网址：http://www.wip.gov.cn）查阅或下载。公众如需进一步咨询了解相关信息，请与威海临港经济技术开发区管理委员会联系（地址：威海临港经济技术开发区江苏东路，电话：0631-5587393）。</w:t>
      </w:r>
    </w:p>
    <w:p w14:paraId="6548155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left="640" w:leftChars="0" w:firstLine="0" w:firstLineChars="0"/>
        <w:textAlignment w:val="auto"/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总体情况</w:t>
      </w:r>
    </w:p>
    <w:p w14:paraId="2EF697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2025年，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威海临港经济技术开发区管理委员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会</w:t>
      </w:r>
      <w:bookmarkStart w:id="10" w:name="_GoBack"/>
      <w:bookmarkEnd w:id="10"/>
      <w:r>
        <w:rPr>
          <w:rFonts w:hint="eastAsia" w:ascii="宋体" w:hAnsi="宋体" w:eastAsia="仿宋_GB2312" w:cs="仿宋_GB2312"/>
          <w:color w:val="auto"/>
          <w:sz w:val="32"/>
          <w:szCs w:val="32"/>
        </w:rPr>
        <w:t>认真贯彻落实《条例》及国家、省、市关于全面推进政务公开工作的系列决策部署，紧紧围绕经济社会发展和人民群众关注关切，持续深化公开内容，完善公开机制，优化公开服务，不断提升政府工作透明度和公信力。</w:t>
      </w:r>
    </w:p>
    <w:p w14:paraId="400867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  <w:t>（一）主动公开。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聚焦法定主动公开内容，围绕重点领域，全年通过政府网站、政务新媒体等平台主动公开政府信息10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696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条（较上年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提高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3.8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%，含网站信息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3065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件、微信信息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5770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件、微博信息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1503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件、抖音信息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358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件），其中公开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党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工委会议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，新闻发布会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6件，举办“政府开放日”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活动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次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，以及其他法定主动公开内容，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现行有效规范性文件共</w:t>
      </w:r>
      <w:r>
        <w:rPr>
          <w:rFonts w:hint="eastAsia" w:ascii="宋体" w:hAnsi="宋体" w:cs="仿宋_GB2312"/>
          <w:color w:val="auto"/>
          <w:sz w:val="32"/>
          <w:szCs w:val="32"/>
          <w:lang w:val="en-US" w:eastAsia="zh-CN"/>
        </w:rPr>
        <w:t>6件，本年度失效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规范性文件</w:t>
      </w:r>
      <w:r>
        <w:rPr>
          <w:rFonts w:hint="eastAsia" w:ascii="宋体" w:hAnsi="宋体" w:cs="仿宋_GB2312"/>
          <w:color w:val="auto"/>
          <w:sz w:val="32"/>
          <w:szCs w:val="32"/>
          <w:lang w:val="en-US" w:eastAsia="zh-CN"/>
        </w:rPr>
        <w:t>1件，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确保了公众的知情权和监督权。</w:t>
      </w:r>
    </w:p>
    <w:p w14:paraId="34EA478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  <w:t>（二）依申请公开。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畅通线上线下申请渠道，规范受理、审核、办理、答复等各环节流程，依法保障公民、法人和其他组织依法获取政府信息的权利。全年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新收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政府信息公开申请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件，依法依规处理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1件结转至下一年度接续办理。</w:t>
      </w:r>
    </w:p>
    <w:p w14:paraId="39BEB9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  <w:t>（三）政府信息管理。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坚持以制度为保障，以规范促管理。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在制定区级主动公开事项目录的基础上，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督导乡镇完善镇级人民政府主动公开事项目录，建立覆盖信息生成、审核、公开、更新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全流程的管理制度。强化源头管理，在文件起草环节即明确公开属性，并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于文件制发时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提供政策解读。严格执行信息公开保密审查程序，确保“公开是常态，不公开是例外”原则与信息安全要求落实到位。</w:t>
      </w:r>
    </w:p>
    <w:p w14:paraId="49C876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  <w:t>（四）政府信息公开平台建设。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推动公开平台从“有”向“优”转变。完成门户网站适老化改造，新增AI智能问答服务平台，提升在线服务便捷度。规范政务新媒体管理，建立矩阵联动机制，全年通过各类新媒体账号发布信息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7600余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条，总订阅数、关注量超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万。</w:t>
      </w:r>
    </w:p>
    <w:p w14:paraId="42EB73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sz w:val="32"/>
          <w:szCs w:val="32"/>
          <w:lang w:val="en-US" w:eastAsia="zh-CN"/>
        </w:rPr>
        <w:t>（五）监督保障。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将政务公开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重要政策解读工作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纳入年度绩效考核体系，明确责任分工，加强督促检查。定期组织开展政务公开业务培训，提升工作人员能力水平。主动接受社会监督，认真研究处理社会公众对政府信息公开工作提出的意见建议，不断改进工作。</w:t>
      </w:r>
    </w:p>
    <w:p w14:paraId="4613EF01">
      <w:pPr>
        <w:numPr>
          <w:ilvl w:val="0"/>
          <w:numId w:val="1"/>
        </w:numPr>
        <w:ind w:left="640" w:leftChars="0" w:firstLine="0" w:firstLineChars="0"/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213C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E57932E"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 w14:paraId="5746F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EFF27E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3EEAF7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5CC722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CACAA1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 w14:paraId="1ACA6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4E6B67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393C03">
            <w:pPr>
              <w:widowControl/>
              <w:jc w:val="center"/>
              <w:rPr>
                <w:rFonts w:hint="default" w:ascii="宋体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40B3BB">
            <w:pPr>
              <w:widowControl/>
              <w:jc w:val="center"/>
              <w:rPr>
                <w:rFonts w:hint="eastAsia" w:ascii="宋体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121BB">
            <w:pPr>
              <w:widowControl/>
              <w:jc w:val="center"/>
              <w:rPr>
                <w:rFonts w:hint="eastAsia" w:ascii="宋体" w:hAnsi="宋体" w:eastAsia="仿宋_GB2312" w:cs="Calibri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3E9FA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123DEB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137F71">
            <w:pPr>
              <w:widowControl/>
              <w:jc w:val="center"/>
              <w:rPr>
                <w:rFonts w:hint="default" w:ascii="宋体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9A91C">
            <w:pPr>
              <w:widowControl/>
              <w:jc w:val="center"/>
              <w:rPr>
                <w:rFonts w:hint="default" w:ascii="宋体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5C2182">
            <w:pPr>
              <w:widowControl/>
              <w:jc w:val="center"/>
              <w:rPr>
                <w:rFonts w:hint="default" w:ascii="宋体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 w14:paraId="1FD17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9632250"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 w14:paraId="26B3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237FD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806931D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45E96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73C4B8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D820BB4">
            <w:pPr>
              <w:widowControl/>
              <w:jc w:val="center"/>
              <w:rPr>
                <w:rFonts w:hint="default" w:ascii="宋体" w:hAnsi="宋体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1"/>
                <w:szCs w:val="21"/>
                <w:lang w:val="en-US" w:eastAsia="zh-CN"/>
              </w:rPr>
              <w:t>6353</w:t>
            </w:r>
          </w:p>
        </w:tc>
      </w:tr>
      <w:tr w14:paraId="67335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D39214D"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 w14:paraId="7AFC3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4E496F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FBAFBF6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16CBC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D4905C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73466ED">
            <w:pPr>
              <w:widowControl/>
              <w:jc w:val="center"/>
              <w:rPr>
                <w:rFonts w:hint="default" w:ascii="宋体" w:hAnsi="宋体" w:eastAsia="仿宋_GB2312" w:cs="Calibri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113</w:t>
            </w:r>
          </w:p>
        </w:tc>
      </w:tr>
      <w:tr w14:paraId="2C728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E0923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A31DD71">
            <w:pPr>
              <w:widowControl/>
              <w:jc w:val="center"/>
              <w:rPr>
                <w:rFonts w:hint="default" w:ascii="宋体" w:hAnsi="宋体" w:eastAsia="仿宋_GB2312" w:cs="Calibri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 w14:paraId="621DD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4821E00"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 w14:paraId="0ABF4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45F271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0144793"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07B1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AE7F49"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3F32E32">
            <w:pPr>
              <w:widowControl/>
              <w:jc w:val="center"/>
              <w:rPr>
                <w:rFonts w:hint="default" w:ascii="宋体" w:hAnsi="宋体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418</w:t>
            </w:r>
          </w:p>
        </w:tc>
      </w:tr>
    </w:tbl>
    <w:p w14:paraId="4AF408E9">
      <w:pPr>
        <w:numPr>
          <w:ilvl w:val="0"/>
          <w:numId w:val="0"/>
        </w:numP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6C7850B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143343">
      <w:pPr>
        <w:numPr>
          <w:ilvl w:val="0"/>
          <w:numId w:val="0"/>
        </w:numPr>
        <w:ind w:firstLine="640" w:firstLineChars="200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4DB3FA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DA3140F">
            <w:pPr>
              <w:widowControl/>
              <w:jc w:val="center"/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</w:rPr>
              <w:t>（本列数据的勾稽关系为：第一项加第二项之和，</w:t>
            </w:r>
          </w:p>
          <w:p w14:paraId="1530C4E5">
            <w:pPr>
              <w:widowControl/>
              <w:jc w:val="center"/>
              <w:rPr>
                <w:rFonts w:ascii="宋体" w:hAnsi="宋体" w:eastAsia="仿宋_GB2312" w:cs="Times New Roman"/>
                <w:w w:val="75"/>
                <w:sz w:val="21"/>
                <w:szCs w:val="21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noWrap w:val="0"/>
            <w:tcMar>
              <w:left w:w="108" w:type="dxa"/>
              <w:right w:w="108" w:type="dxa"/>
            </w:tcMar>
            <w:vAlign w:val="center"/>
          </w:tcPr>
          <w:p w14:paraId="0ACD9420">
            <w:pPr>
              <w:widowControl/>
              <w:spacing w:line="320" w:lineRule="exact"/>
              <w:jc w:val="center"/>
              <w:rPr>
                <w:rFonts w:ascii="宋体" w:hAnsi="宋体" w:eastAsia="黑体" w:cs="Times New Roman"/>
                <w:w w:val="75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申请人情况</w:t>
            </w:r>
          </w:p>
        </w:tc>
      </w:tr>
      <w:tr w14:paraId="6AB82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D96AC9">
            <w:pPr>
              <w:jc w:val="center"/>
              <w:rPr>
                <w:rFonts w:ascii="宋体" w:hAnsi="宋体" w:eastAsia="仿宋_GB2312" w:cs="Times New Roman"/>
                <w:w w:val="75"/>
                <w:sz w:val="21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2636190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noWrap w:val="0"/>
            <w:tcMar>
              <w:left w:w="108" w:type="dxa"/>
              <w:right w:w="108" w:type="dxa"/>
            </w:tcMar>
            <w:vAlign w:val="center"/>
          </w:tcPr>
          <w:p w14:paraId="77401E93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362FB2C">
            <w:pPr>
              <w:widowControl/>
              <w:jc w:val="center"/>
              <w:rPr>
                <w:rFonts w:ascii="宋体" w:hAnsi="宋体" w:eastAsia="黑体" w:cs="Times New Roman"/>
                <w:w w:val="75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2D749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7723866">
            <w:pPr>
              <w:jc w:val="center"/>
              <w:rPr>
                <w:rFonts w:ascii="宋体" w:hAnsi="宋体" w:eastAsia="仿宋_GB2312" w:cs="Times New Roman"/>
                <w:w w:val="75"/>
                <w:sz w:val="21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FCA71D">
            <w:pPr>
              <w:widowControl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4A1E69F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商业</w:t>
            </w:r>
          </w:p>
          <w:p w14:paraId="7400DC05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企业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3C33AD0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科研</w:t>
            </w:r>
          </w:p>
          <w:p w14:paraId="0441B8B9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1E16035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社会公</w:t>
            </w:r>
          </w:p>
          <w:p w14:paraId="0AED35F8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31DA905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法律服</w:t>
            </w:r>
          </w:p>
          <w:p w14:paraId="7408D99D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4C1CC9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6614C7F">
            <w:pPr>
              <w:jc w:val="center"/>
              <w:rPr>
                <w:rFonts w:ascii="宋体" w:hAnsi="宋体" w:eastAsia="仿宋_GB2312" w:cs="Times New Roman"/>
                <w:w w:val="75"/>
                <w:sz w:val="21"/>
                <w:szCs w:val="21"/>
              </w:rPr>
            </w:pPr>
          </w:p>
        </w:tc>
      </w:tr>
      <w:tr w14:paraId="04FFC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766D957">
            <w:pPr>
              <w:widowControl/>
              <w:rPr>
                <w:rFonts w:ascii="宋体" w:hAnsi="宋体" w:eastAsia="黑体" w:cs="Times New Roman"/>
                <w:color w:val="auto"/>
                <w:w w:val="75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426D56D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1F9A410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A80590A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9C124B7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7AD9E7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2C8B385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A2DCC7F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11</w:t>
            </w:r>
          </w:p>
        </w:tc>
      </w:tr>
      <w:tr w14:paraId="0E5E7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15964BC">
            <w:pPr>
              <w:widowControl/>
              <w:rPr>
                <w:rFonts w:ascii="宋体" w:hAnsi="宋体" w:eastAsia="黑体" w:cs="Times New Roman"/>
                <w:color w:val="auto"/>
                <w:w w:val="75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34BCDA1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526E332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314B5D0B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B6745A1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520496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FF25A0B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13839E3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FDCB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248E71C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A27DF0E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2D6F2F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60B55AB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1BF6CD75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BC1B740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A195CB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F7FE75C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66A16F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</w:p>
        </w:tc>
      </w:tr>
      <w:tr w14:paraId="73381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39C04D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D92A3F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36946A6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B36F381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58FF22B2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9C71CDD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E54357E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09F7718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3544105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 w14:paraId="67F4E0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02C182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C189410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7FE5215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0FE386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23A4AE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3E016C2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F4F36F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38904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07E87F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53BF6B0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0B8D2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7CB25E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BC2266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55442A1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8C9667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31174F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523151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6CD59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7156F7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816A11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EAED0F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80AA6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3576ADA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669189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9979F62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E5E6E99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6C492F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420A119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C566EF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1F854A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51038D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5187B8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E07F9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0F5CD09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4F5A053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8758EE2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A84222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1B465D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C7FB38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C5CC17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77CED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ECC90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F8745D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00A0A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A622CE2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994CE5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FC01A53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707903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38941D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DDA4F0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293A70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E6A41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7AC308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69A66EE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E8F95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BD1680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307354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DA7242C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5E5024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4AEB76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8A8213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C90C72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F6C3C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3D77F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07B051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30956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4D7D5D4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308323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F792A71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1B3E56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C50DD6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DEA219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4C93E8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D0A231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35370D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66BA3C69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240538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AA186A8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C88117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08EE917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F93784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622A50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0E5F009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61C84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5D7401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BD765A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36FE97A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47A8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C2C3C13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9F39FE9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929F724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8E071ED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35FE7F1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B880879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486DCE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F3E207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E5911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834437B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4B3F80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EA88A1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3F1E9E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921BAF0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0F1D8C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55FC70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3AB634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7721DB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0F38F4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09B354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E1B9ED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EC4CD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4E060C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8EAE72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5CB0998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42DA397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63DA39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842BB0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3EAF8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65258F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45941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76BCE94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20C7A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AD79495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394BFE1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E373EB2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9BB0E8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3FBF8D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EF7434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5B50D4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632C0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677BD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170773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35C73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457C7F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1151C8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9B4A978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1C4BC79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5C3E9F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B27D49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11F25D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C1F708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F7C4F8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16D63A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AA44E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FB8CCD5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369750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42ACD6C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2A72C5A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7FEBEE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BB995B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ECA1FC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7EE113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78BB73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593B4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FDA66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679B6EA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788177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2D1E86D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0DD8709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9CAC9E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4DC26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CE1F58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822CC3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A818D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38F389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4FCBC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82E62C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CFA326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E66D132">
            <w:pPr>
              <w:widowControl/>
              <w:spacing w:line="200" w:lineRule="exact"/>
              <w:rPr>
                <w:rFonts w:hint="eastAsia" w:ascii="Times New Roman" w:hAnsi="Times New Roman" w:eastAsia="仿宋_GB2312" w:cs="Times New Roman"/>
                <w:sz w:val="21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5.要求行政机关确认或重新</w:t>
            </w:r>
          </w:p>
          <w:p w14:paraId="5075B068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出具已获取信息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6507994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7B1A35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018C8E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5D1542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202747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5B76899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AF3783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68701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27E624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18E3B5C">
            <w:pPr>
              <w:widowControl/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5FBFB096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217F74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F1FD83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3A19A0C5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E88F66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DDE226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0497A42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4CAD10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968CD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F5C99B9">
            <w:pPr>
              <w:rPr>
                <w:rFonts w:ascii="宋体" w:hAnsi="宋体" w:eastAsia="黑体" w:cs="Times New Roman"/>
                <w:color w:val="auto"/>
                <w:w w:val="75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6903381">
            <w:pPr>
              <w:widowControl/>
              <w:spacing w:line="300" w:lineRule="exact"/>
              <w:rPr>
                <w:rFonts w:ascii="宋体" w:hAnsi="宋体" w:eastAsia="黑体" w:cs="Times New Roman"/>
                <w:color w:val="auto"/>
                <w:w w:val="75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52E18FCD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BEA08E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5246C8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3D87847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D22C61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E47A66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C97C9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FF75A8A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8972E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9C81BA">
            <w:pPr>
              <w:rPr>
                <w:rFonts w:ascii="宋体" w:hAnsi="宋体" w:eastAsia="黑体" w:cs="Times New Roman"/>
                <w:color w:val="auto"/>
                <w:w w:val="75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48E0B5">
            <w:pPr>
              <w:widowControl/>
              <w:spacing w:line="300" w:lineRule="exact"/>
              <w:rPr>
                <w:rFonts w:ascii="宋体" w:hAnsi="宋体" w:eastAsia="黑体" w:cs="Times New Roman"/>
                <w:color w:val="auto"/>
                <w:w w:val="75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1B2757F1">
            <w:pPr>
              <w:widowControl/>
              <w:spacing w:line="200" w:lineRule="exact"/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</w:rPr>
              <w:t>3.其他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39CF3433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DDFCD96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55A4FCEF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DA2036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9E9A4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F62331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B42989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91EC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D94173">
            <w:pPr>
              <w:rPr>
                <w:rFonts w:ascii="宋体" w:hAnsi="宋体" w:eastAsia="黑体" w:cs="Times New Roman"/>
                <w:color w:val="auto"/>
                <w:w w:val="75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25AE8E">
            <w:pPr>
              <w:widowControl/>
              <w:spacing w:line="300" w:lineRule="exact"/>
              <w:rPr>
                <w:rFonts w:ascii="宋体" w:hAnsi="宋体" w:eastAsia="黑体" w:cs="Times New Roman"/>
                <w:color w:val="auto"/>
                <w:w w:val="75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90A4ECC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56F373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CF5086C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FC25921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E76A0CE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952AF2D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5F34EC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 w14:paraId="7F9C4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4B3DE59">
            <w:pPr>
              <w:widowControl/>
              <w:spacing w:line="300" w:lineRule="exact"/>
              <w:rPr>
                <w:rFonts w:ascii="宋体" w:hAnsi="宋体" w:eastAsia="黑体" w:cs="Times New Roman"/>
                <w:color w:val="auto"/>
                <w:w w:val="75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A841A97">
            <w:pPr>
              <w:widowControl/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929AFC0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6B7E418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F8A80F4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079917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5642A53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6FA666FB"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75E807A2">
      <w:pPr>
        <w:numPr>
          <w:ilvl w:val="0"/>
          <w:numId w:val="0"/>
        </w:numPr>
        <w:ind w:left="640" w:leftChars="0"/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6F83DBCC">
      <w:pPr>
        <w:numPr>
          <w:ilvl w:val="0"/>
          <w:numId w:val="0"/>
        </w:numPr>
        <w:ind w:left="640" w:leftChars="0"/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E8A76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368992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7F6520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3AED51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8661DB">
            <w:pPr>
              <w:widowControl/>
              <w:ind w:left="-227" w:leftChars="-71" w:right="-259" w:rightChars="-81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04521D86">
            <w:pPr>
              <w:widowControl/>
              <w:ind w:left="-227" w:leftChars="-71" w:right="-259" w:rightChars="-81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C1706">
            <w:pPr>
              <w:widowControl/>
              <w:ind w:right="-202" w:rightChars="-63"/>
              <w:jc w:val="both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342C1B4C">
            <w:pPr>
              <w:widowControl/>
              <w:ind w:right="-202" w:rightChars="-63"/>
              <w:jc w:val="both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3C9518">
            <w:pPr>
              <w:widowControl/>
              <w:ind w:left="-125" w:leftChars="-39" w:right="-147" w:rightChars="-46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其他</w:t>
            </w:r>
          </w:p>
          <w:p w14:paraId="363FC1A3">
            <w:pPr>
              <w:widowControl/>
              <w:ind w:left="-125" w:leftChars="-39" w:right="-147" w:rightChars="-46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06F527">
            <w:pPr>
              <w:widowControl/>
              <w:ind w:left="-179" w:leftChars="-56" w:right="-179" w:rightChars="-56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尚未</w:t>
            </w:r>
          </w:p>
          <w:p w14:paraId="1C59DBA3">
            <w:pPr>
              <w:widowControl/>
              <w:ind w:left="-179" w:leftChars="-56" w:right="-179" w:rightChars="-56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EFEB8A">
            <w:pPr>
              <w:widowControl/>
              <w:spacing w:line="320" w:lineRule="exact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总</w:t>
            </w:r>
          </w:p>
          <w:p w14:paraId="2FA229FC">
            <w:pPr>
              <w:widowControl/>
              <w:spacing w:line="320" w:lineRule="exact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BFD526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A2B49C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bookmarkStart w:id="9" w:name="_Hlk67039688"/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532E6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60CC71">
            <w:pPr>
              <w:rPr>
                <w:rFonts w:ascii="宋体" w:hAnsi="宋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95D14B">
            <w:pPr>
              <w:rPr>
                <w:rFonts w:ascii="宋体" w:hAnsi="宋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23EE02">
            <w:pPr>
              <w:rPr>
                <w:rFonts w:ascii="宋体" w:hAnsi="宋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53B9E4">
            <w:pPr>
              <w:rPr>
                <w:rFonts w:ascii="宋体" w:hAnsi="宋体" w:eastAsia="黑体" w:cs="Times New Roman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EC25A6">
            <w:pPr>
              <w:rPr>
                <w:rFonts w:ascii="宋体" w:hAnsi="宋体" w:eastAsia="黑体" w:cs="Times New Roman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BCF89">
            <w:pPr>
              <w:widowControl/>
              <w:ind w:left="-160" w:leftChars="-50" w:right="-192" w:rightChars="-60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644B9F2A">
            <w:pPr>
              <w:widowControl/>
              <w:ind w:left="-160" w:leftChars="-50" w:right="-192" w:rightChars="-60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7DDA4F">
            <w:pPr>
              <w:widowControl/>
              <w:ind w:left="-131" w:leftChars="-41" w:right="-134" w:rightChars="-42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076C7B7D">
            <w:pPr>
              <w:widowControl/>
              <w:ind w:left="-131" w:leftChars="-41" w:right="-134" w:rightChars="-42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B9DE7B">
            <w:pPr>
              <w:widowControl/>
              <w:ind w:left="-192" w:leftChars="-60" w:right="-208" w:rightChars="-65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其他</w:t>
            </w:r>
          </w:p>
          <w:p w14:paraId="726F0040">
            <w:pPr>
              <w:widowControl/>
              <w:ind w:left="-192" w:leftChars="-60" w:right="-208" w:rightChars="-65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669D55">
            <w:pPr>
              <w:widowControl/>
              <w:ind w:left="-250" w:leftChars="-78" w:right="-234" w:rightChars="-73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尚未</w:t>
            </w:r>
          </w:p>
          <w:p w14:paraId="16603237">
            <w:pPr>
              <w:widowControl/>
              <w:ind w:left="-250" w:leftChars="-78" w:right="-234" w:rightChars="-73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3A27EC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44AE91">
            <w:pPr>
              <w:widowControl/>
              <w:ind w:left="-150" w:leftChars="-47" w:right="-118" w:rightChars="-37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5E727528">
            <w:pPr>
              <w:widowControl/>
              <w:ind w:left="-150" w:leftChars="-47" w:right="-118" w:rightChars="-37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99C247">
            <w:pPr>
              <w:widowControl/>
              <w:ind w:left="-208" w:leftChars="-65" w:right="-189" w:rightChars="-59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  <w:p w14:paraId="3B2BEB35">
            <w:pPr>
              <w:widowControl/>
              <w:ind w:left="-208" w:leftChars="-65" w:right="-189" w:rightChars="-59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7A8F9B">
            <w:pPr>
              <w:widowControl/>
              <w:ind w:left="-265" w:leftChars="-83" w:right="-205" w:rightChars="-64" w:hanging="1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其他</w:t>
            </w:r>
          </w:p>
          <w:p w14:paraId="5FE2908B">
            <w:pPr>
              <w:widowControl/>
              <w:ind w:left="-265" w:leftChars="-83" w:right="-205" w:rightChars="-64" w:hanging="1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84BB1B">
            <w:pPr>
              <w:widowControl/>
              <w:ind w:left="-104" w:leftChars="-33" w:right="-160" w:rightChars="-50" w:hanging="2" w:hangingChars="1"/>
              <w:jc w:val="center"/>
              <w:rPr>
                <w:rFonts w:ascii="宋体" w:hAnsi="宋体" w:eastAsia="黑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尚未</w:t>
            </w:r>
          </w:p>
          <w:p w14:paraId="0554C8AE">
            <w:pPr>
              <w:widowControl/>
              <w:ind w:left="-104" w:leftChars="-33" w:right="-160" w:rightChars="-50" w:hanging="2" w:hangingChars="1"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27807E">
            <w:pPr>
              <w:widowControl/>
              <w:jc w:val="center"/>
              <w:rPr>
                <w:rFonts w:ascii="宋体" w:hAnsi="宋体" w:eastAsia="黑体" w:cs="Times New Roman"/>
                <w:sz w:val="21"/>
                <w:szCs w:val="22"/>
              </w:rPr>
            </w:pPr>
            <w:r>
              <w:rPr>
                <w:rFonts w:ascii="宋体" w:hAnsi="宋体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07F4A7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BF4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F26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A4D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62F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7AE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383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8E2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27E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231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BFD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B32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37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60B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7D3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EB0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2</w:t>
            </w:r>
          </w:p>
        </w:tc>
      </w:tr>
    </w:tbl>
    <w:p w14:paraId="03207B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40" w:leftChars="0"/>
        <w:textAlignment w:val="auto"/>
        <w:rPr>
          <w:rFonts w:hint="default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五、</w:t>
      </w:r>
      <w:r>
        <w:rPr>
          <w:rFonts w:hint="default" w:ascii="宋体" w:hAnsi="宋体" w:eastAsia="黑体" w:cs="黑体"/>
          <w:color w:val="auto"/>
          <w:kern w:val="0"/>
          <w:sz w:val="32"/>
          <w:szCs w:val="32"/>
          <w:lang w:val="en-US" w:eastAsia="zh-CN" w:bidi="ar"/>
        </w:rPr>
        <w:t>存在的主要问题及改进情况</w:t>
      </w:r>
    </w:p>
    <w:p w14:paraId="7145E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2025年，对照国家、省、市关于政务公开工作各项部署要求，本单位工作仍存在一些短板和不足，需在今后的工作中加以改进。</w:t>
      </w:r>
    </w:p>
    <w:p w14:paraId="18335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>（一）存在问题。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一是重点领域信息公开深度有待拓展。在重大建设项目批准与实施、公共资源配置等社会关注度高的重点领域，信息公开的时效性和易用性仍有提升空间。部分公开内容较为宏观，过程性与结果性信息更新不够及时，不便于公众全面了解和有效监督。二是公开平台互动功能应用不足。管委网站、政务新媒体的在线互动、征集调查等功能模块使用频率和实效性有待提高，对于公众留言的响应速度和答复质量需进一步优化。</w:t>
      </w:r>
    </w:p>
    <w:p w14:paraId="2AA29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（二）改进措施。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推进重点领域信息公开“深化细化”。根据《2025年山东省政务公开效能监测实施方案》中的监测要点，结合本单位实际，完善相关领域的公开内容。强化内部协同，明确相关单位在信息产生、审核、提供方面的责任，确保应公开尽公开。探索运用数据图表、项目地图等形式，增强重点领域信息的可读性和可理解性。二是强化公开平台互动服务效能。加强对政务新媒体留言评论的分析研判和反馈。建立健全线上线下融合的公众参与机制，对涉及公众切身利益的重大决策，广泛听取意见。</w:t>
      </w:r>
    </w:p>
    <w:p w14:paraId="1DA19E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40" w:leftChars="0"/>
        <w:textAlignment w:val="auto"/>
        <w:rPr>
          <w:rFonts w:hint="default" w:ascii="宋体" w:hAnsi="宋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/>
          <w:sz w:val="32"/>
          <w:szCs w:val="32"/>
          <w:lang w:val="en-US" w:eastAsia="zh-CN"/>
        </w:rPr>
        <w:t>六、其他需要报告的事项</w:t>
      </w:r>
    </w:p>
    <w:p w14:paraId="2AA8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>（一）收取信息处理费情况</w:t>
      </w:r>
    </w:p>
    <w:p w14:paraId="4B4FA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2025年威海临港经济技术开发区管理委员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会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未收取政府信息公开信息处理费。</w:t>
      </w:r>
    </w:p>
    <w:p w14:paraId="26A25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>（二）办理人大代表建议、政协委员提案情况</w:t>
      </w:r>
    </w:p>
    <w:p w14:paraId="33AA7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5年我区未承办人大代表建议和政协委员提案。</w:t>
      </w:r>
    </w:p>
    <w:p w14:paraId="0A9E8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>（三）政务公开工作要点落实情况</w:t>
      </w:r>
    </w:p>
    <w:p w14:paraId="1ED37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2025年，本单位严格按照上级相关部署要求，坚持“围绕中心、服务大局、精准施策、务求实效”的原则，将各项要点任务分解细化、压实责任、强化督导，全力推动政务公开工作提质增效。</w:t>
      </w:r>
    </w:p>
    <w:p w14:paraId="79FB7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>（四）创新工作开展情况</w:t>
      </w:r>
    </w:p>
    <w:p w14:paraId="3BB47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2025年，临港区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不断提升政务公开数智化水平，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聚焦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工程项目建设审批领域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，打造了“临港AI项目管家”等三大智能体，以AI智能技术为支撑全面提升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行政效能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。“临港AI项目管家”归集了工程领域700余件政策文件，优化2300余条疑难解答，嵌入收费计算与能耗评估算法，通过微信小程序提供24小时“秒级响应”服务，实现“企业跑腿问”到“系统精准导”的转变。AI智能体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投入使用，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使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企业</w:t>
      </w:r>
      <w:r>
        <w:rPr>
          <w:rFonts w:hint="eastAsia" w:ascii="宋体" w:hAnsi="宋体" w:cs="仿宋_GB2312"/>
          <w:color w:val="auto"/>
          <w:kern w:val="2"/>
          <w:sz w:val="32"/>
          <w:szCs w:val="32"/>
          <w:lang w:val="en-US" w:eastAsia="zh-CN" w:bidi="ar-SA"/>
        </w:rPr>
        <w:t>办事的便捷感显著提升，进一步赋能我区经济高质量发展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3C126C"/>
    <w:multiLevelType w:val="singleLevel"/>
    <w:tmpl w:val="A53C126C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A7FA0"/>
    <w:rsid w:val="15E56E19"/>
    <w:rsid w:val="1BE0085A"/>
    <w:rsid w:val="2D002054"/>
    <w:rsid w:val="2D8531AB"/>
    <w:rsid w:val="2D8B592C"/>
    <w:rsid w:val="302A7846"/>
    <w:rsid w:val="37336536"/>
    <w:rsid w:val="3B7D2AA6"/>
    <w:rsid w:val="3F0E2037"/>
    <w:rsid w:val="44D3314F"/>
    <w:rsid w:val="491D47AE"/>
    <w:rsid w:val="4CF237CB"/>
    <w:rsid w:val="50202D39"/>
    <w:rsid w:val="54BF3AFB"/>
    <w:rsid w:val="5574381A"/>
    <w:rsid w:val="56B741C2"/>
    <w:rsid w:val="58685D69"/>
    <w:rsid w:val="5E840471"/>
    <w:rsid w:val="5E9D368F"/>
    <w:rsid w:val="61D648AA"/>
    <w:rsid w:val="639C7B5C"/>
    <w:rsid w:val="67031D97"/>
    <w:rsid w:val="682420F2"/>
    <w:rsid w:val="687A2727"/>
    <w:rsid w:val="6A191BFF"/>
    <w:rsid w:val="6BBA0725"/>
    <w:rsid w:val="776102A2"/>
    <w:rsid w:val="784A5E00"/>
    <w:rsid w:val="788E5BCE"/>
    <w:rsid w:val="7B026F8F"/>
    <w:rsid w:val="7D1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2937</Words>
  <Characters>3072</Characters>
  <Lines>0</Lines>
  <Paragraphs>0</Paragraphs>
  <TotalTime>20</TotalTime>
  <ScaleCrop>false</ScaleCrop>
  <LinksUpToDate>false</LinksUpToDate>
  <CharactersWithSpaces>3072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2026-01-27T01:09:00Z</dcterms:created>
  <dc:creator>Administrator</dc:creator>
  <cp:lastModifiedBy>好姑娘万丈光芒 </cp:lastModifiedBy>
  <dcterms:modified xsi:type="dcterms:W3CDTF">2026-03-20T01:36:59Z</dcterms:modified>
  <dc:title>威海临港经济技术开发区管理委员会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eyJoZGlkIjoiMTBmM2M3ZGIyZjhhMDFkZGNlYjdhMzYxNTcxOTIzNDMiLCJ1c2VySWQiOiIyNTkyMTI5MDUifQ==</vt:lpwstr>
  </property>
  <property fmtid="{D5CDD505-2E9C-101B-9397-08002B2CF9AE}" pid="4" name="ICV">
    <vt:lpwstr>4E6E2AAE837145289B8FA2038AF9ED44_13</vt:lpwstr>
  </property>
</Properties>
</file>