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724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威海临港经济技术开发区管理委员会</w:t>
      </w:r>
    </w:p>
    <w:p w14:paraId="72DC796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2025年政府信息公开工作年度报告</w:t>
      </w:r>
    </w:p>
    <w:p w14:paraId="79719C2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</w:p>
    <w:p w14:paraId="3A8C814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年威海临港经济技术开发区管理委员会政府信息公开工作实际，编制发布本报告。</w:t>
      </w:r>
    </w:p>
    <w:p w14:paraId="3F37031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Times New Roman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年1月1日到12月31日止。报告电子版可从威海临港经济技术开发区管委会网站（网址：http://www.wip.gov.cn）查阅或下载。公众如需进一步咨询了解相关信息，请与威海临港经济技术开发区管理委员会联系（地址：威海临港经济技术开发区江苏东路，电话：0631-5587393）。</w:t>
      </w:r>
    </w:p>
    <w:p w14:paraId="65481553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left="640" w:leftChars="0" w:firstLine="0" w:firstLineChars="0"/>
        <w:textAlignment w:val="auto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总体情况</w:t>
      </w:r>
    </w:p>
    <w:p w14:paraId="2EF697B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76" w:lineRule="exact"/>
        <w:ind w:left="0" w:firstLine="645"/>
        <w:jc w:val="both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2025年，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威海临港经济技术开发区管理委员认真贯彻落实《条例》及国家、省、市关于全面推进政务公开工作的系列决策部署，紧紧围绕经济社会发展和人民群众关注关切，持续深化公开内容，完善公开机制，优化公开服务，不断提升政府工作透明度和公信力。</w:t>
      </w:r>
    </w:p>
    <w:p w14:paraId="4008673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（一）主动公开。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聚焦法定主动公开内容，围绕重点领域，全年通过政府网站、政务新媒体等平台主动公开政府信息10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696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条（较上年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提高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3.8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%，含网站信息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3065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件、微信信息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5770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件、微博信息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1503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件、抖音信息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358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件），其中公开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党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工委会议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，新闻发布会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6件，举办“政府开放日”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活动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次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，以及其他法定主动公开内容，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现行有效规范性文件共</w:t>
      </w:r>
      <w:r>
        <w:rPr>
          <w:rFonts w:hint="eastAsia" w:ascii="宋体" w:hAnsi="宋体" w:cs="仿宋_GB2312"/>
          <w:color w:val="auto"/>
          <w:sz w:val="32"/>
          <w:szCs w:val="32"/>
          <w:lang w:val="en-US" w:eastAsia="zh-CN"/>
        </w:rPr>
        <w:t>6件，本年度失效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规范性文件</w:t>
      </w:r>
      <w:r>
        <w:rPr>
          <w:rFonts w:hint="eastAsia" w:ascii="宋体" w:hAnsi="宋体" w:cs="仿宋_GB2312"/>
          <w:color w:val="auto"/>
          <w:sz w:val="32"/>
          <w:szCs w:val="32"/>
          <w:lang w:val="en-US" w:eastAsia="zh-CN"/>
        </w:rPr>
        <w:t>1件，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确保了公众的知情权和监督权。</w:t>
      </w:r>
    </w:p>
    <w:p w14:paraId="34EA478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（二）依申请公开。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畅通线上线下申请渠道，规范受理、审核、办理、答复等各环节流程，依法保障公民、法人和其他组织依法获取政府信息的权利。全年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新收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政府信息公开申请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件，依法依规处理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宋体" w:hAnsi="宋体" w:eastAsia="仿宋_GB2312" w:cs="仿宋_GB2312"/>
          <w:color w:val="auto"/>
          <w:sz w:val="32"/>
          <w:szCs w:val="32"/>
        </w:rPr>
        <w:t>1件结转至下一年度接续办理。</w:t>
      </w:r>
    </w:p>
    <w:p w14:paraId="39BEB95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（三）政府信息管理。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坚持以制度为保障，以规范促管理。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在制定区级主动公开事项目录的基础上，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督导乡镇完善镇级人民政府主动公开事项目录，建立覆盖信息生成、审核、公开、更新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等</w:t>
      </w:r>
      <w:bookmarkStart w:id="10" w:name="_GoBack"/>
      <w:bookmarkEnd w:id="10"/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全流程的管理制度。强化源头管理，在文件起草环节即明确公开属性，并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于文件制发时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提供政策解读。严格执行信息公开保密审查程序，确保“公开是常态，不公开是例外”原则与信息安全要求落实到位。</w:t>
      </w:r>
    </w:p>
    <w:p w14:paraId="49C8763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（四）政府信息公开平台建设。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推动公开平台从“有”向“优”转变。完成门户网站适老化改造，新增AI智能问答服务平台，提升在线服务便捷度。规范政务新媒体管理，建立矩阵联动机制，全年通过各类新媒体账号发布信息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7600余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条，总订阅数、关注量超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万。</w:t>
      </w:r>
    </w:p>
    <w:p w14:paraId="42EB73C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sz w:val="32"/>
          <w:szCs w:val="32"/>
          <w:lang w:val="en-US" w:eastAsia="zh-CN"/>
        </w:rPr>
        <w:t>（五）监督保障。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将政务公开</w:t>
      </w:r>
      <w:r>
        <w:rPr>
          <w:rFonts w:hint="eastAsia" w:ascii="宋体" w:hAnsi="宋体" w:cs="仿宋_GB2312"/>
          <w:color w:val="auto"/>
          <w:sz w:val="32"/>
          <w:szCs w:val="32"/>
          <w:lang w:eastAsia="zh-CN"/>
        </w:rPr>
        <w:t>重要政策解读工作</w:t>
      </w: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纳入年度绩效考核体系，明确责任分工，加强督促检查。定期组织开展政务公开业务培训，提升工作人员能力水平。主动接受社会监督，认真研究处理社会公众对政府信息公开工作提出的意见建议，不断改进工作。</w:t>
      </w:r>
    </w:p>
    <w:p w14:paraId="4613EF01">
      <w:pPr>
        <w:numPr>
          <w:ilvl w:val="0"/>
          <w:numId w:val="1"/>
        </w:numPr>
        <w:ind w:left="640" w:leftChars="0" w:firstLine="0" w:firstLine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13C6A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7E57932E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第二十条第（一）项</w:t>
            </w:r>
          </w:p>
        </w:tc>
      </w:tr>
      <w:tr w14:paraId="5746F1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DEFF27E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3EEAF7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5CC722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CACAA1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现行有效件数</w:t>
            </w:r>
          </w:p>
        </w:tc>
      </w:tr>
      <w:tr w14:paraId="1ACA6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4E6B67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393C03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40B3BB">
            <w:pPr>
              <w:widowControl/>
              <w:jc w:val="center"/>
              <w:rPr>
                <w:rFonts w:hint="eastAsia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E121BB">
            <w:pPr>
              <w:widowControl/>
              <w:jc w:val="center"/>
              <w:rPr>
                <w:rFonts w:hint="eastAsia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3E9FA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123DEB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B137F71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79A91C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95C2182">
            <w:pPr>
              <w:widowControl/>
              <w:jc w:val="center"/>
              <w:rPr>
                <w:rFonts w:hint="default" w:ascii="宋体" w:hAnsi="宋体" w:eastAsia="仿宋_GB2312" w:cs="宋体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6</w:t>
            </w:r>
          </w:p>
        </w:tc>
      </w:tr>
      <w:tr w14:paraId="1FD17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69632250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第二十条第（五）项</w:t>
            </w:r>
          </w:p>
        </w:tc>
      </w:tr>
      <w:tr w14:paraId="26B3D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D237FD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806931D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45E96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D73C4B8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3D820BB4">
            <w:pPr>
              <w:widowControl/>
              <w:jc w:val="center"/>
              <w:rPr>
                <w:rFonts w:hint="default" w:ascii="宋体" w:hAnsi="宋体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Calibri"/>
                <w:color w:val="000000"/>
                <w:kern w:val="0"/>
                <w:sz w:val="21"/>
                <w:szCs w:val="21"/>
                <w:lang w:val="en-US" w:eastAsia="zh-CN"/>
              </w:rPr>
              <w:t>6353</w:t>
            </w:r>
          </w:p>
        </w:tc>
      </w:tr>
      <w:tr w14:paraId="67335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1D39214D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第二十条第（六）项</w:t>
            </w:r>
          </w:p>
        </w:tc>
      </w:tr>
      <w:tr w14:paraId="7AFC3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4E496F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5FBAFBF6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本年处理决定数量</w:t>
            </w:r>
          </w:p>
        </w:tc>
      </w:tr>
      <w:tr w14:paraId="16CBC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D4905C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373466ED">
            <w:pPr>
              <w:widowControl/>
              <w:jc w:val="center"/>
              <w:rPr>
                <w:rFonts w:hint="default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113</w:t>
            </w:r>
          </w:p>
        </w:tc>
      </w:tr>
      <w:tr w14:paraId="2C728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1E0923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5A31DD71">
            <w:pPr>
              <w:widowControl/>
              <w:jc w:val="center"/>
              <w:rPr>
                <w:rFonts w:hint="default" w:ascii="宋体" w:hAnsi="宋体" w:eastAsia="仿宋_GB2312" w:cs="Calibri"/>
                <w:color w:val="FF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7</w:t>
            </w:r>
          </w:p>
        </w:tc>
      </w:tr>
      <w:tr w14:paraId="621DD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64821E00">
            <w:pPr>
              <w:widowControl/>
              <w:jc w:val="center"/>
              <w:rPr>
                <w:rFonts w:ascii="宋体" w:hAnsi="宋体" w:eastAsia="黑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 w:val="21"/>
                <w:szCs w:val="21"/>
              </w:rPr>
              <w:t>第二十条第（八）项</w:t>
            </w:r>
          </w:p>
        </w:tc>
      </w:tr>
      <w:tr w14:paraId="0ABF4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45F271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0144793">
            <w:pPr>
              <w:widowControl/>
              <w:jc w:val="center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本年收费金额（单位：万元）</w:t>
            </w:r>
          </w:p>
        </w:tc>
      </w:tr>
      <w:tr w14:paraId="07B1F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CAE7F49">
            <w:pPr>
              <w:widowControl/>
              <w:jc w:val="left"/>
              <w:rPr>
                <w:rFonts w:ascii="宋体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sz w:val="21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3F32E32">
            <w:pPr>
              <w:widowControl/>
              <w:jc w:val="center"/>
              <w:rPr>
                <w:rFonts w:hint="default" w:ascii="宋体" w:hAnsi="宋体" w:eastAsia="仿宋_GB2312" w:cs="Calibri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lang w:val="en-US" w:eastAsia="zh-CN"/>
              </w:rPr>
              <w:t>418</w:t>
            </w:r>
          </w:p>
        </w:tc>
      </w:tr>
    </w:tbl>
    <w:p w14:paraId="4AF408E9">
      <w:pPr>
        <w:numPr>
          <w:ilvl w:val="0"/>
          <w:numId w:val="0"/>
        </w:numP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</w:p>
    <w:p w14:paraId="6C7850B8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color w:val="auto"/>
          <w:kern w:val="0"/>
          <w:sz w:val="21"/>
          <w:szCs w:val="21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9143343">
      <w:pPr>
        <w:numPr>
          <w:ilvl w:val="0"/>
          <w:numId w:val="0"/>
        </w:numPr>
        <w:ind w:firstLine="640" w:firstLineChars="200"/>
        <w:rPr>
          <w:rFonts w:hint="eastAsia" w:ascii="宋体" w:hAnsi="宋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三、收到和处理政府信息公开申请情况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4DB3FA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DA3140F">
            <w:pPr>
              <w:widowControl/>
              <w:jc w:val="center"/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  <w:t>（本列数据的勾稽关系为：第一项加第二项之和，</w:t>
            </w:r>
          </w:p>
          <w:p w14:paraId="1530C4E5">
            <w:pPr>
              <w:widowControl/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  <w:r>
              <w:rPr>
                <w:rFonts w:hint="eastAsia" w:ascii="楷体_GB2312" w:hAnsi="黑体" w:eastAsia="楷体_GB2312" w:cs="Times New Roman"/>
                <w:kern w:val="0"/>
                <w:sz w:val="21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noWrap w:val="0"/>
            <w:tcMar>
              <w:left w:w="108" w:type="dxa"/>
              <w:right w:w="108" w:type="dxa"/>
            </w:tcMar>
            <w:vAlign w:val="center"/>
          </w:tcPr>
          <w:p w14:paraId="0ACD9420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申请人情况</w:t>
            </w:r>
          </w:p>
        </w:tc>
      </w:tr>
      <w:tr w14:paraId="6AB8279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3D96AC9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  <w:tc>
          <w:tcPr>
            <w:tcW w:w="747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42636190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noWrap w:val="0"/>
            <w:tcMar>
              <w:left w:w="108" w:type="dxa"/>
              <w:right w:w="108" w:type="dxa"/>
            </w:tcMar>
            <w:vAlign w:val="center"/>
          </w:tcPr>
          <w:p w14:paraId="77401E93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7362FB2C">
            <w:pPr>
              <w:widowControl/>
              <w:jc w:val="center"/>
              <w:rPr>
                <w:rFonts w:ascii="宋体" w:hAnsi="宋体" w:eastAsia="黑体" w:cs="Times New Roman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总计</w:t>
            </w:r>
          </w:p>
        </w:tc>
      </w:tr>
      <w:tr w14:paraId="2D749C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7723866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  <w:tc>
          <w:tcPr>
            <w:tcW w:w="747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AFCA71D">
            <w:pPr>
              <w:widowControl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noWrap w:val="0"/>
            <w:tcMar>
              <w:left w:w="108" w:type="dxa"/>
              <w:right w:w="108" w:type="dxa"/>
            </w:tcMar>
            <w:vAlign w:val="center"/>
          </w:tcPr>
          <w:p w14:paraId="64A1E69F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商业</w:t>
            </w:r>
          </w:p>
          <w:p w14:paraId="7400DC0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企业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3C33AD0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科研</w:t>
            </w:r>
          </w:p>
          <w:p w14:paraId="0441B8B9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机构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1E1603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社会公</w:t>
            </w:r>
          </w:p>
          <w:p w14:paraId="0AED35F8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益组织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31DA905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法律服</w:t>
            </w:r>
          </w:p>
          <w:p w14:paraId="7408D99D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务机构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444C1CC9">
            <w:pPr>
              <w:widowControl/>
              <w:spacing w:line="320" w:lineRule="exact"/>
              <w:ind w:left="-162" w:leftChars="-51" w:right="-163" w:rightChars="-51" w:hanging="1"/>
              <w:jc w:val="center"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6614C7F">
            <w:pPr>
              <w:jc w:val="center"/>
              <w:rPr>
                <w:rFonts w:ascii="宋体" w:hAnsi="宋体" w:eastAsia="仿宋_GB2312" w:cs="Times New Roman"/>
                <w:w w:val="75"/>
                <w:sz w:val="21"/>
                <w:szCs w:val="21"/>
              </w:rPr>
            </w:pPr>
          </w:p>
        </w:tc>
      </w:tr>
      <w:tr w14:paraId="04FFC2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766D957">
            <w:pPr>
              <w:widowControl/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1426D56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1F9A410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A80590A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9C124B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7AD9E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12C8B38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A2DCC7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11</w:t>
            </w:r>
          </w:p>
        </w:tc>
      </w:tr>
      <w:tr w14:paraId="0E5E72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15964BC">
            <w:pPr>
              <w:widowControl/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534BCDA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526E332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14B5D0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B6745A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A52049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 w14:paraId="3FF25A0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13839E3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3FDCBD2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248E71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A27DF0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C2D6F2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60B55A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1BF6CD7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BC1B740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1A195C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F7FE75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C66A16F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3</w:t>
            </w:r>
          </w:p>
        </w:tc>
      </w:tr>
      <w:tr w14:paraId="73381E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A39C04D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CD92A3F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）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36946A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B36F381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58FF22B2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9C71CD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E54357E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09F7718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3544105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4</w:t>
            </w:r>
          </w:p>
        </w:tc>
      </w:tr>
      <w:tr w14:paraId="67F4E0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802C18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C18941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7FE5215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0FE386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23A4AE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3E016C2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F4F36F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238904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07E87F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53BF6B0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50B8D2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B7CB25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8BC2266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55442A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8C9667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31174F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6523151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0C6CD59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7156F7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816A11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EAED0F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80AA6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3576ADA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966918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979F6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7E5E6E9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6C492F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3420A11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C566EF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1F854A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51038D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5187B8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E07F9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0F5CD0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4F5A05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8758EE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A84222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1B465D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3C7FB38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4C5CC17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77CED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6ECC90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F8745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00A0A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A622CE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B994CE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FC01A53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2707903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38941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DDA4F0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293A70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BE6A41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47AC308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9A66EE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E8F95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9BD168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530735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DA7242C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5E5024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4AEB76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8A8213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C90C72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BF6C3C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23D77F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07B051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309566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4D7D5D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830832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F792A7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21B3E56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C50DD6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7DEA219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4C93E8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D0A231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35370D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6BA3C6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  <w:tr w14:paraId="240538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AA186A8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8C88117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08EE917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F93784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622A50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0E5F009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961C84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45D7401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BD765A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36FE97A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47A89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C2C3C13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69F39FE9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929F724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08E071ED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5FE7F1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2B88087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486DCE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F3E207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7E5911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834437B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2</w:t>
            </w:r>
          </w:p>
        </w:tc>
      </w:tr>
      <w:tr w14:paraId="4B3F80F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9EA88A1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83F1E9E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21BAF0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60F1D8C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55FC70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33AB634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7721DB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0F38F4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09B354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E1B9ED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3EC4CD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64E060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08EAE72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5CB099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42DA397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63DA39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7842BB0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33EAF8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265258F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245941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76BCE94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420C7A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AD7949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7394BFE1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E373EB2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09BB0E8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3FBF8D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EF7434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5B50D4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7632C0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6677BD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170773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635C738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C457C7F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F1151C8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9B4A97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1C4BC79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5C3E9F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B27D49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11F25D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C1F708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F7C4F8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216D63A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AA44E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FB8CCD5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C369750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42ACD6C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2A72C5A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7FEBE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BB995B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ECA1FC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7EE113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778BB73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593B4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FDA66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679B6EA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9788177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2D1E86D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0DD8709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9CAC9E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14DC26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CE1F58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3822CC3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14A818D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38F389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24FCBC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B82E62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ACFA326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E66D132">
            <w:pPr>
              <w:widowControl/>
              <w:spacing w:line="200" w:lineRule="exact"/>
              <w:rPr>
                <w:rFonts w:hint="eastAsia" w:ascii="Times New Roman" w:hAnsi="Times New Roman" w:eastAsia="仿宋_GB2312" w:cs="Times New Roman"/>
                <w:sz w:val="21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5.要求行政机关确认或重新</w:t>
            </w:r>
          </w:p>
          <w:p w14:paraId="5075B068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出具已获取信息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6507994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7B1A35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018C8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55D1542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6202747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5B76899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AF3783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687012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4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C27E624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18E3B5C">
            <w:pPr>
              <w:widowControl/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 w14:paraId="5FBFB096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217F74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F1FD83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3A19A0C5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E88F66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DDE226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0497A42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4CAD10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1968CD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F5C99B9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6903381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52E18FCD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BEA08E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5246C8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3D87847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7D22C61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7E47A66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9C97C9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4FF75A8A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78972E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29C81BA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C48E0B5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1B2757F1">
            <w:pPr>
              <w:widowControl/>
              <w:spacing w:line="200" w:lineRule="exact"/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</w:pPr>
            <w:r>
              <w:rPr>
                <w:rFonts w:hint="eastAsia" w:ascii="仿宋_GB2312" w:hAnsi="黑体" w:eastAsia="仿宋_GB2312" w:cs="Times New Roman"/>
                <w:kern w:val="0"/>
                <w:sz w:val="21"/>
                <w:szCs w:val="21"/>
              </w:rPr>
              <w:t>3.其他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9CF3433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DDFCD96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55A4FCEF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6DA2036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559E9A4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3F62331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0B42989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</w:tr>
      <w:tr w14:paraId="091EC4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2D94173">
            <w:pPr>
              <w:rPr>
                <w:rFonts w:ascii="宋体" w:hAnsi="宋体" w:eastAsia="黑体" w:cs="Times New Roman"/>
                <w:color w:val="auto"/>
                <w:w w:val="75"/>
                <w:sz w:val="21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925AE8E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90A4EC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56F373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CF5086C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0FC25921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0E76A0CE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952AF2D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175F34EC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10</w:t>
            </w:r>
          </w:p>
        </w:tc>
      </w:tr>
      <w:tr w14:paraId="7F9C43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4B3DE59">
            <w:pPr>
              <w:widowControl/>
              <w:spacing w:line="300" w:lineRule="exact"/>
              <w:rPr>
                <w:rFonts w:ascii="宋体" w:hAnsi="宋体" w:eastAsia="黑体" w:cs="Times New Roman"/>
                <w:color w:val="auto"/>
                <w:w w:val="75"/>
                <w:kern w:val="0"/>
                <w:sz w:val="21"/>
                <w:szCs w:val="21"/>
              </w:rPr>
            </w:pPr>
            <w:r>
              <w:rPr>
                <w:rFonts w:hint="eastAsia" w:ascii="黑体" w:hAnsi="黑体" w:eastAsia="黑体" w:cs="Times New Roman"/>
                <w:kern w:val="0"/>
                <w:sz w:val="21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A841A97">
            <w:pPr>
              <w:widowControl/>
              <w:spacing w:line="240" w:lineRule="exact"/>
              <w:jc w:val="center"/>
              <w:rPr>
                <w:rFonts w:hint="default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929AFC0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16B7E418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 w14:paraId="2F8A80F4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 w14:paraId="18079917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5642A53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 w14:paraId="6FA666FB"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1"/>
                <w:szCs w:val="21"/>
                <w:lang w:val="en-US" w:eastAsia="zh-CN"/>
              </w:rPr>
              <w:t>1</w:t>
            </w:r>
          </w:p>
        </w:tc>
      </w:tr>
    </w:tbl>
    <w:p w14:paraId="75E807A2">
      <w:pPr>
        <w:numPr>
          <w:ilvl w:val="0"/>
          <w:numId w:val="0"/>
        </w:numPr>
        <w:ind w:left="640" w:left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</w:p>
    <w:p w14:paraId="6F83DBCC">
      <w:pPr>
        <w:numPr>
          <w:ilvl w:val="0"/>
          <w:numId w:val="0"/>
        </w:numPr>
        <w:ind w:left="640" w:leftChars="0"/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E8A76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0368992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7F6520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 w14:paraId="3AED51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68661DB">
            <w:pPr>
              <w:widowControl/>
              <w:ind w:left="-227" w:leftChars="-71" w:right="-259" w:rightChars="-8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04521D86">
            <w:pPr>
              <w:widowControl/>
              <w:ind w:left="-227" w:leftChars="-71" w:right="-259" w:rightChars="-8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CC1706">
            <w:pPr>
              <w:widowControl/>
              <w:ind w:right="-202" w:rightChars="-63"/>
              <w:jc w:val="both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342C1B4C">
            <w:pPr>
              <w:widowControl/>
              <w:ind w:right="-202" w:rightChars="-63"/>
              <w:jc w:val="both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C3C9518">
            <w:pPr>
              <w:widowControl/>
              <w:ind w:left="-125" w:leftChars="-39" w:right="-147" w:rightChars="-46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363FC1A3">
            <w:pPr>
              <w:widowControl/>
              <w:ind w:left="-125" w:leftChars="-39" w:right="-147" w:rightChars="-46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06F527">
            <w:pPr>
              <w:widowControl/>
              <w:ind w:left="-179" w:leftChars="-56" w:right="-179" w:rightChars="-56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1C59DBA3">
            <w:pPr>
              <w:widowControl/>
              <w:ind w:left="-179" w:leftChars="-56" w:right="-179" w:rightChars="-56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BEFEB8A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</w:t>
            </w:r>
          </w:p>
          <w:p w14:paraId="2FA229FC">
            <w:pPr>
              <w:widowControl/>
              <w:spacing w:line="320" w:lineRule="exact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2BFD526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EA2B49C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bookmarkStart w:id="9" w:name="_Hlk67039688"/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532E67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D60CC71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F95D14B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23EE02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53B9E4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AEC25A6">
            <w:pPr>
              <w:rPr>
                <w:rFonts w:ascii="宋体" w:hAnsi="宋体" w:eastAsia="黑体" w:cs="Times New Roman"/>
                <w:sz w:val="24"/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5ABCF89">
            <w:pPr>
              <w:widowControl/>
              <w:ind w:left="-160" w:leftChars="-50" w:right="-192" w:rightChars="-60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644B9F2A">
            <w:pPr>
              <w:widowControl/>
              <w:ind w:left="-160" w:leftChars="-50" w:right="-192" w:rightChars="-60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7DDA4F">
            <w:pPr>
              <w:widowControl/>
              <w:ind w:left="-131" w:leftChars="-41" w:right="-134" w:rightChars="-42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076C7B7D">
            <w:pPr>
              <w:widowControl/>
              <w:ind w:left="-131" w:leftChars="-41" w:right="-134" w:rightChars="-42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DB9DE7B">
            <w:pPr>
              <w:widowControl/>
              <w:ind w:left="-192" w:leftChars="-60" w:right="-208" w:rightChars="-65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726F0040">
            <w:pPr>
              <w:widowControl/>
              <w:ind w:left="-192" w:leftChars="-60" w:right="-208" w:rightChars="-65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669D55">
            <w:pPr>
              <w:widowControl/>
              <w:ind w:left="-250" w:leftChars="-78" w:right="-234" w:rightChars="-73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16603237">
            <w:pPr>
              <w:widowControl/>
              <w:ind w:left="-250" w:leftChars="-78" w:right="-234" w:rightChars="-73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63A27EC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944AE91">
            <w:pPr>
              <w:widowControl/>
              <w:ind w:left="-150" w:leftChars="-47" w:right="-118" w:rightChars="-37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5E727528">
            <w:pPr>
              <w:widowControl/>
              <w:ind w:left="-150" w:leftChars="-47" w:right="-118" w:rightChars="-37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99C247">
            <w:pPr>
              <w:widowControl/>
              <w:ind w:left="-208" w:leftChars="-65" w:right="-189" w:rightChars="-59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  <w:p w14:paraId="3B2BEB35">
            <w:pPr>
              <w:widowControl/>
              <w:ind w:left="-208" w:leftChars="-65" w:right="-189" w:rightChars="-59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7A8F9B">
            <w:pPr>
              <w:widowControl/>
              <w:ind w:left="-265" w:leftChars="-83" w:right="-205" w:rightChars="-64" w:hanging="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其他</w:t>
            </w:r>
          </w:p>
          <w:p w14:paraId="5FE2908B">
            <w:pPr>
              <w:widowControl/>
              <w:ind w:left="-265" w:leftChars="-83" w:right="-205" w:rightChars="-64" w:hanging="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84BB1B">
            <w:pPr>
              <w:widowControl/>
              <w:ind w:left="-104" w:leftChars="-33" w:right="-160" w:rightChars="-50" w:hanging="2" w:hangingChars="1"/>
              <w:jc w:val="center"/>
              <w:rPr>
                <w:rFonts w:ascii="宋体" w:hAnsi="宋体" w:eastAsia="黑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尚未</w:t>
            </w:r>
          </w:p>
          <w:p w14:paraId="0554C8AE">
            <w:pPr>
              <w:widowControl/>
              <w:ind w:left="-104" w:leftChars="-33" w:right="-160" w:rightChars="-50" w:hanging="2" w:hangingChars="1"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27807E">
            <w:pPr>
              <w:widowControl/>
              <w:jc w:val="center"/>
              <w:rPr>
                <w:rFonts w:ascii="宋体" w:hAnsi="宋体" w:eastAsia="黑体" w:cs="Times New Roman"/>
                <w:sz w:val="21"/>
                <w:szCs w:val="22"/>
              </w:rPr>
            </w:pPr>
            <w:r>
              <w:rPr>
                <w:rFonts w:ascii="宋体" w:hAnsi="宋体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 w14:paraId="07F4A7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BF4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7F261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default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CA4DE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62F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27AE2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default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1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7383E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38E2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927EF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7231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BFD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DB329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C3701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2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760B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87D3D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EB0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500" w:lineRule="exact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2"/>
                <w:lang w:val="en-US" w:eastAsia="zh-CN"/>
              </w:rPr>
              <w:t>2</w:t>
            </w:r>
          </w:p>
        </w:tc>
      </w:tr>
    </w:tbl>
    <w:p w14:paraId="03207B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640" w:leftChars="0"/>
        <w:textAlignment w:val="auto"/>
        <w:rPr>
          <w:rFonts w:hint="default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五、</w:t>
      </w:r>
      <w:r>
        <w:rPr>
          <w:rFonts w:hint="default" w:ascii="宋体" w:hAnsi="宋体" w:eastAsia="黑体" w:cs="黑体"/>
          <w:color w:val="auto"/>
          <w:kern w:val="0"/>
          <w:sz w:val="32"/>
          <w:szCs w:val="32"/>
          <w:lang w:val="en-US" w:eastAsia="zh-CN" w:bidi="ar"/>
        </w:rPr>
        <w:t>存在的主要问题及改进情况</w:t>
      </w:r>
    </w:p>
    <w:p w14:paraId="7145E1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2025年，对照国家、省、市关于政务公开工作各项部署要求，本单位工作仍存在一些短板和不足，需在今后的工作中加以改进。</w:t>
      </w:r>
    </w:p>
    <w:p w14:paraId="183352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（一）存在问题。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一是重点领域信息公开深度有待拓展。在重大建设项目批准与实施、公共资源配置等社会关注度高的重点领域，信息公开的时效性和易用性仍有提升空间。部分公开内容较为宏观，过程性与结果性信息更新不够及时，不便于公众全面了解和有效监督。二是公开平台互动功能应用不足。管委网站、政务新媒体的在线互动、征集调查等功能模块使用频率和实效性有待提高，对于公众留言的响应速度和答复质量需进一步优化。</w:t>
      </w:r>
    </w:p>
    <w:p w14:paraId="2AA2907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</w:rPr>
      </w:pPr>
      <w:r>
        <w:rPr>
          <w:rFonts w:hint="eastAsia" w:ascii="宋体" w:hAnsi="宋体" w:eastAsia="楷体_GB2312" w:cs="楷体_GB2312"/>
          <w:color w:val="auto"/>
          <w:kern w:val="2"/>
          <w:sz w:val="32"/>
          <w:szCs w:val="32"/>
          <w:lang w:val="en-US" w:eastAsia="zh-CN" w:bidi="ar-SA"/>
        </w:rPr>
        <w:t>（二）改进措施。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推进重点领域信息公开“深化细化”。根据《2025年山东省政务公开效能监测实施方案》中的监测要点，结合本单位实际，完善相关领域的公开内容。强化内部协同，明确相关单位在信息产生、审核、提供方面的责任，确保应公开尽公开。探索运用数据图表、项目地图等形式，增强重点领域信息的可读性和可理解性。二是强化公开平台互动服务效能。加强对政务新媒体留言评论的分析研判和反馈。建立健全线上线下融合的公众参与机制，对涉及公众切身利益的重大决策，广泛听取意见。</w:t>
      </w:r>
    </w:p>
    <w:p w14:paraId="1DA19E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640" w:leftChars="0"/>
        <w:textAlignment w:val="auto"/>
        <w:rPr>
          <w:rFonts w:hint="default" w:ascii="宋体" w:hAnsi="宋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b w:val="0"/>
          <w:bCs/>
          <w:sz w:val="32"/>
          <w:szCs w:val="32"/>
          <w:lang w:val="en-US" w:eastAsia="zh-CN"/>
        </w:rPr>
        <w:t>六、其他需要报告的事项</w:t>
      </w:r>
    </w:p>
    <w:p w14:paraId="2AA86C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（一）收取信息处理费情况</w:t>
      </w:r>
    </w:p>
    <w:p w14:paraId="4B4FAC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2025年威海临港经济技术开发区管理委员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会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未收取政府信息公开信息处理费。</w:t>
      </w:r>
    </w:p>
    <w:p w14:paraId="26A25B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（二）办理人大代表建议、政协委员提案情况</w:t>
      </w:r>
    </w:p>
    <w:p w14:paraId="33AA79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5年我区未承办人大代表建议和政协委员提案。</w:t>
      </w:r>
    </w:p>
    <w:p w14:paraId="0A9E80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（三）政务公开工作要点落实情况</w:t>
      </w:r>
    </w:p>
    <w:p w14:paraId="1ED379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2025年，本单位严格按照上级相关部署要求，坚持“围绕中心、服务大局、精准施策、务求实效”的原则，将各项要点任务分解细化、压实责任、强化督导，全力推动政务公开工作提质增效。</w:t>
      </w:r>
    </w:p>
    <w:p w14:paraId="79FB79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楷体_GB2312" w:cs="楷体_GB2312"/>
          <w:b w:val="0"/>
          <w:bCs/>
          <w:color w:val="000000"/>
          <w:sz w:val="32"/>
          <w:szCs w:val="32"/>
          <w:lang w:val="en-US" w:eastAsia="zh-CN"/>
        </w:rPr>
        <w:t>（四）创新工作开展情况</w:t>
      </w:r>
    </w:p>
    <w:p w14:paraId="3BB479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2025年，临港区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不断提升政务公开数智化水平，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聚焦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工程项目建设审批领域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，打造了“临港AI项目管家”等三大智能体，以AI智能技术为支撑全面提升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行政效能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。“临港AI项目管家”归集了工程领域700余件政策文件，优化2300余条疑难解答，嵌入收费计算与能耗评估算法，通过微信小程序提供24小时“秒级响应”服务，实现“企业跑腿问”到“系统精准导”的转变。AI智能体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的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投入使用，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使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企业</w:t>
      </w:r>
      <w:r>
        <w:rPr>
          <w:rFonts w:hint="eastAsia" w:ascii="宋体" w:hAnsi="宋体" w:cs="仿宋_GB2312"/>
          <w:color w:val="auto"/>
          <w:kern w:val="2"/>
          <w:sz w:val="32"/>
          <w:szCs w:val="32"/>
          <w:lang w:val="en-US" w:eastAsia="zh-CN" w:bidi="ar-SA"/>
        </w:rPr>
        <w:t>办事的便捷感显著提升，进一步赋能我区经济高质量发展</w:t>
      </w:r>
      <w:r>
        <w:rPr>
          <w:rFonts w:hint="eastAsia" w:ascii="宋体" w:hAnsi="宋体" w:eastAsia="仿宋_GB2312" w:cs="仿宋_GB2312"/>
          <w:color w:val="auto"/>
          <w:kern w:val="2"/>
          <w:sz w:val="32"/>
          <w:szCs w:val="32"/>
          <w:lang w:val="en-US" w:eastAsia="zh-CN" w:bidi="ar-SA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3C126C"/>
    <w:multiLevelType w:val="singleLevel"/>
    <w:tmpl w:val="A53C126C"/>
    <w:lvl w:ilvl="0" w:tentative="0">
      <w:start w:val="1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FA7FA0"/>
    <w:rsid w:val="15E56E19"/>
    <w:rsid w:val="1BE0085A"/>
    <w:rsid w:val="2D002054"/>
    <w:rsid w:val="2D8531AB"/>
    <w:rsid w:val="2D8B592C"/>
    <w:rsid w:val="302A7846"/>
    <w:rsid w:val="37336536"/>
    <w:rsid w:val="3B7D2AA6"/>
    <w:rsid w:val="3F0E2037"/>
    <w:rsid w:val="44D3314F"/>
    <w:rsid w:val="491D47AE"/>
    <w:rsid w:val="4CF237CB"/>
    <w:rsid w:val="50202D39"/>
    <w:rsid w:val="54BF3AFB"/>
    <w:rsid w:val="5574381A"/>
    <w:rsid w:val="58685D69"/>
    <w:rsid w:val="5E840471"/>
    <w:rsid w:val="5E9D368F"/>
    <w:rsid w:val="61D648AA"/>
    <w:rsid w:val="639C7B5C"/>
    <w:rsid w:val="67031D97"/>
    <w:rsid w:val="682420F2"/>
    <w:rsid w:val="687A2727"/>
    <w:rsid w:val="6A191BFF"/>
    <w:rsid w:val="6BBA0725"/>
    <w:rsid w:val="776102A2"/>
    <w:rsid w:val="784A5E00"/>
    <w:rsid w:val="788E5BCE"/>
    <w:rsid w:val="7B026F8F"/>
    <w:rsid w:val="7D1C7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2936</Words>
  <Characters>3071</Characters>
  <Lines>0</Lines>
  <Paragraphs>0</Paragraphs>
  <TotalTime>19</TotalTime>
  <ScaleCrop>false</ScaleCrop>
  <LinksUpToDate>false</LinksUpToDate>
  <CharactersWithSpaces>3071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2026-01-27T01:09:00Z</dcterms:created>
  <dc:creator>Administrator</dc:creator>
  <cp:lastModifiedBy>好姑娘万丈光芒 </cp:lastModifiedBy>
  <dcterms:modified xsi:type="dcterms:W3CDTF">2026-02-05T01:38:40Z</dcterms:modified>
  <dc:title>威海临港经济技术开发区管理委员会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eyJoZGlkIjoiOGExMzNlNTdlMDJiNmI2YzE0OGM3MmEyYzRmNjE4Y2MiLCJ1c2VySWQiOiIyNTkyMTI5MDUifQ==</vt:lpwstr>
  </property>
  <property fmtid="{D5CDD505-2E9C-101B-9397-08002B2CF9AE}" pid="4" name="ICV">
    <vt:lpwstr>4E6E2AAE837145289B8FA2038AF9ED44_13</vt:lpwstr>
  </property>
</Properties>
</file>