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1E152D" w14:textId="7F1F3DE7" w:rsidR="00BB4B2C" w:rsidRDefault="00BB4B2C" w:rsidP="00BB4B2C">
      <w:pPr>
        <w:pStyle w:val="a3"/>
      </w:pPr>
      <w:r w:rsidRPr="00BB4B2C">
        <w:rPr>
          <w:rFonts w:hint="eastAsia"/>
        </w:rPr>
        <w:t>威海市工程建设项目</w:t>
      </w:r>
    </w:p>
    <w:p w14:paraId="0197D55A" w14:textId="6C96CFF6" w:rsidR="00BB4B2C" w:rsidRDefault="00BB4B2C" w:rsidP="00BB4B2C">
      <w:pPr>
        <w:pStyle w:val="a3"/>
      </w:pPr>
      <w:r w:rsidRPr="00BB4B2C">
        <w:rPr>
          <w:rFonts w:hint="eastAsia"/>
        </w:rPr>
        <w:t>招标投标交易规则解读</w:t>
      </w:r>
    </w:p>
    <w:p w14:paraId="1B0E5812" w14:textId="77777777" w:rsidR="00BB4B2C" w:rsidRDefault="00BB4B2C" w:rsidP="00BB4B2C">
      <w:pPr>
        <w:ind w:firstLine="640"/>
      </w:pPr>
    </w:p>
    <w:p w14:paraId="2B1F18F9" w14:textId="38E09704" w:rsidR="00BB4B2C" w:rsidRDefault="00BB4B2C" w:rsidP="00BB4B2C">
      <w:pPr>
        <w:ind w:firstLine="640"/>
        <w:rPr>
          <w:rFonts w:hint="eastAsia"/>
        </w:rPr>
      </w:pPr>
      <w:r>
        <w:rPr>
          <w:rFonts w:hint="eastAsia"/>
        </w:rPr>
        <w:t>《威海市工程建设项目招标投标交易规则》共包括总则、招标、开评标与中标、应急管理、附则等</w:t>
      </w:r>
      <w:r>
        <w:rPr>
          <w:rFonts w:hint="eastAsia"/>
        </w:rPr>
        <w:t>6</w:t>
      </w:r>
      <w:r>
        <w:rPr>
          <w:rFonts w:hint="eastAsia"/>
        </w:rPr>
        <w:t>个章节、</w:t>
      </w:r>
      <w:r>
        <w:rPr>
          <w:rFonts w:hint="eastAsia"/>
        </w:rPr>
        <w:t>35</w:t>
      </w:r>
      <w:r>
        <w:rPr>
          <w:rFonts w:hint="eastAsia"/>
        </w:rPr>
        <w:t>条。主要有</w:t>
      </w:r>
      <w:r>
        <w:rPr>
          <w:rFonts w:hint="eastAsia"/>
        </w:rPr>
        <w:t>10</w:t>
      </w:r>
      <w:r>
        <w:rPr>
          <w:rFonts w:hint="eastAsia"/>
        </w:rPr>
        <w:t>项重点内容：</w:t>
      </w:r>
    </w:p>
    <w:p w14:paraId="630DD183" w14:textId="77777777" w:rsidR="00BB4B2C" w:rsidRDefault="00BB4B2C" w:rsidP="00BB4B2C">
      <w:pPr>
        <w:ind w:firstLine="640"/>
      </w:pPr>
    </w:p>
    <w:p w14:paraId="242B6C41" w14:textId="77777777" w:rsidR="00BB4B2C" w:rsidRDefault="00BB4B2C" w:rsidP="00BB4B2C">
      <w:pPr>
        <w:ind w:firstLine="640"/>
        <w:rPr>
          <w:rFonts w:hint="eastAsia"/>
        </w:rPr>
      </w:pPr>
      <w:r>
        <w:rPr>
          <w:rFonts w:hint="eastAsia"/>
        </w:rPr>
        <w:t>一是明确招标范围。按照《必须招标的工程项目规定》，凡列入《威海市公共资源交易目录》，依法必须进行招标的工程建设项目的勘察、设计、施工、监理以及与工程建设有关的重要设备、材料等的采购，都必须纳入各级公共资源交易平台交易。</w:t>
      </w:r>
    </w:p>
    <w:p w14:paraId="30E4AF0A" w14:textId="77777777" w:rsidR="00BB4B2C" w:rsidRDefault="00BB4B2C" w:rsidP="00BB4B2C">
      <w:pPr>
        <w:ind w:firstLine="640"/>
      </w:pPr>
    </w:p>
    <w:p w14:paraId="501BD9AA" w14:textId="77777777" w:rsidR="00BB4B2C" w:rsidRDefault="00BB4B2C" w:rsidP="00BB4B2C">
      <w:pPr>
        <w:ind w:firstLine="640"/>
        <w:rPr>
          <w:rFonts w:hint="eastAsia"/>
        </w:rPr>
      </w:pPr>
      <w:r>
        <w:rPr>
          <w:rFonts w:hint="eastAsia"/>
        </w:rPr>
        <w:t>二是优化交易流程。按照“线上交易为常态、线下交易为例外”的原则，将招标投标交易流程规范为入场登记、发布招标公告、评标专家抽取、中标结果公示、在线签订合同等</w:t>
      </w:r>
      <w:r>
        <w:rPr>
          <w:rFonts w:hint="eastAsia"/>
        </w:rPr>
        <w:t>16</w:t>
      </w:r>
      <w:r>
        <w:rPr>
          <w:rFonts w:hint="eastAsia"/>
        </w:rPr>
        <w:t>个环节。</w:t>
      </w:r>
    </w:p>
    <w:p w14:paraId="577A3017" w14:textId="77777777" w:rsidR="00BB4B2C" w:rsidRDefault="00BB4B2C" w:rsidP="00BB4B2C">
      <w:pPr>
        <w:ind w:firstLine="640"/>
      </w:pPr>
    </w:p>
    <w:p w14:paraId="0593BA53" w14:textId="77777777" w:rsidR="00BB4B2C" w:rsidRDefault="00BB4B2C" w:rsidP="00BB4B2C">
      <w:pPr>
        <w:ind w:firstLine="640"/>
        <w:rPr>
          <w:rFonts w:hint="eastAsia"/>
        </w:rPr>
      </w:pPr>
      <w:r>
        <w:rPr>
          <w:rFonts w:hint="eastAsia"/>
        </w:rPr>
        <w:t>三是规范招标条件。工程建设项目招标必须依法成立招标人，按规定履行项目审批核准备案手续，落实资金来源，施工项目招标需完成初步设计和概算审批，具备招标所需的设计图纸和技术资料。</w:t>
      </w:r>
    </w:p>
    <w:p w14:paraId="0F5FBF13" w14:textId="77777777" w:rsidR="00BB4B2C" w:rsidRDefault="00BB4B2C" w:rsidP="00BB4B2C">
      <w:pPr>
        <w:ind w:firstLine="640"/>
      </w:pPr>
    </w:p>
    <w:p w14:paraId="6731E2DD" w14:textId="77777777" w:rsidR="00BB4B2C" w:rsidRDefault="00BB4B2C" w:rsidP="00BB4B2C">
      <w:pPr>
        <w:ind w:firstLine="640"/>
        <w:rPr>
          <w:rFonts w:hint="eastAsia"/>
        </w:rPr>
      </w:pPr>
      <w:r>
        <w:rPr>
          <w:rFonts w:hint="eastAsia"/>
        </w:rPr>
        <w:t>四是统一交易平台。招标人、投标人凭数字证书，统一</w:t>
      </w:r>
      <w:r>
        <w:rPr>
          <w:rFonts w:hint="eastAsia"/>
        </w:rPr>
        <w:lastRenderedPageBreak/>
        <w:t>通过“威海市公共资源交易平台”，办理入场登记、发布招标文件、下载标书、投递投标文件，在线进行加密、解密等。</w:t>
      </w:r>
    </w:p>
    <w:p w14:paraId="7FD92381" w14:textId="77777777" w:rsidR="00BB4B2C" w:rsidRDefault="00BB4B2C" w:rsidP="00BB4B2C">
      <w:pPr>
        <w:ind w:firstLine="640"/>
      </w:pPr>
    </w:p>
    <w:p w14:paraId="4834094B" w14:textId="77777777" w:rsidR="00BB4B2C" w:rsidRDefault="00BB4B2C" w:rsidP="00BB4B2C">
      <w:pPr>
        <w:ind w:firstLine="640"/>
        <w:rPr>
          <w:rFonts w:hint="eastAsia"/>
        </w:rPr>
      </w:pPr>
      <w:r>
        <w:rPr>
          <w:rFonts w:hint="eastAsia"/>
        </w:rPr>
        <w:t>五是规范招标文件。招标文件、资格预审文件应当使用国家标准文本，采用数据电文形式的不得收取任何费用。招标公告、资格预审公告应通过威海市公共资源交易网发布，并至少载明</w:t>
      </w:r>
      <w:r>
        <w:rPr>
          <w:rFonts w:hint="eastAsia"/>
        </w:rPr>
        <w:t>8</w:t>
      </w:r>
      <w:r>
        <w:rPr>
          <w:rFonts w:hint="eastAsia"/>
        </w:rPr>
        <w:t>个方面的内容。</w:t>
      </w:r>
    </w:p>
    <w:p w14:paraId="0F555EC9" w14:textId="77777777" w:rsidR="00BB4B2C" w:rsidRDefault="00BB4B2C" w:rsidP="00BB4B2C">
      <w:pPr>
        <w:ind w:firstLine="640"/>
      </w:pPr>
    </w:p>
    <w:p w14:paraId="59220502" w14:textId="77777777" w:rsidR="00BB4B2C" w:rsidRDefault="00BB4B2C" w:rsidP="00BB4B2C">
      <w:pPr>
        <w:ind w:firstLine="640"/>
        <w:rPr>
          <w:rFonts w:hint="eastAsia"/>
        </w:rPr>
      </w:pPr>
      <w:r>
        <w:rPr>
          <w:rFonts w:hint="eastAsia"/>
        </w:rPr>
        <w:t>六是降低交易成本。将施工项目投标保证金由最高</w:t>
      </w:r>
      <w:r>
        <w:rPr>
          <w:rFonts w:hint="eastAsia"/>
        </w:rPr>
        <w:t>80</w:t>
      </w:r>
      <w:r>
        <w:rPr>
          <w:rFonts w:hint="eastAsia"/>
        </w:rPr>
        <w:t>万元下调至最高</w:t>
      </w:r>
      <w:r>
        <w:rPr>
          <w:rFonts w:hint="eastAsia"/>
        </w:rPr>
        <w:t>50</w:t>
      </w:r>
      <w:r>
        <w:rPr>
          <w:rFonts w:hint="eastAsia"/>
        </w:rPr>
        <w:t>万元，其他项目最高不超过</w:t>
      </w:r>
      <w:r>
        <w:rPr>
          <w:rFonts w:hint="eastAsia"/>
        </w:rPr>
        <w:t>10</w:t>
      </w:r>
      <w:r>
        <w:rPr>
          <w:rFonts w:hint="eastAsia"/>
        </w:rPr>
        <w:t>万元。在交通工程建设领域率先取消投标保证金。</w:t>
      </w:r>
    </w:p>
    <w:p w14:paraId="0926FC37" w14:textId="77777777" w:rsidR="00BB4B2C" w:rsidRDefault="00BB4B2C" w:rsidP="00BB4B2C">
      <w:pPr>
        <w:ind w:firstLine="640"/>
      </w:pPr>
    </w:p>
    <w:p w14:paraId="37A67F55" w14:textId="77777777" w:rsidR="00BB4B2C" w:rsidRDefault="00BB4B2C" w:rsidP="00BB4B2C">
      <w:pPr>
        <w:ind w:firstLine="640"/>
        <w:rPr>
          <w:rFonts w:hint="eastAsia"/>
        </w:rPr>
      </w:pPr>
      <w:r>
        <w:rPr>
          <w:rFonts w:hint="eastAsia"/>
        </w:rPr>
        <w:t>七是严格开标评标。招标人应当按照招标文件规定的时间、地点开标、评标，评审专家统一从省综合专家库随机抽取，投标人少于</w:t>
      </w:r>
      <w:r>
        <w:rPr>
          <w:rFonts w:hint="eastAsia"/>
        </w:rPr>
        <w:t>3</w:t>
      </w:r>
      <w:r>
        <w:rPr>
          <w:rFonts w:hint="eastAsia"/>
        </w:rPr>
        <w:t>个的重新招标。</w:t>
      </w:r>
    </w:p>
    <w:p w14:paraId="096F9FF2" w14:textId="77777777" w:rsidR="00BB4B2C" w:rsidRDefault="00BB4B2C" w:rsidP="00BB4B2C">
      <w:pPr>
        <w:ind w:firstLine="640"/>
      </w:pPr>
    </w:p>
    <w:p w14:paraId="1A57C602" w14:textId="77777777" w:rsidR="00BB4B2C" w:rsidRDefault="00BB4B2C" w:rsidP="00BB4B2C">
      <w:pPr>
        <w:ind w:firstLine="640"/>
        <w:rPr>
          <w:rFonts w:hint="eastAsia"/>
        </w:rPr>
      </w:pPr>
      <w:r>
        <w:rPr>
          <w:rFonts w:hint="eastAsia"/>
        </w:rPr>
        <w:t>八是规范评标行为。评标专家采取电子评标的方式，需要澄清或者说明的事项，应当通过公共资源交易平台交换数据电文，并在线提交电子化评标报告。</w:t>
      </w:r>
    </w:p>
    <w:p w14:paraId="3453EBF5" w14:textId="77777777" w:rsidR="00BB4B2C" w:rsidRDefault="00BB4B2C" w:rsidP="00BB4B2C">
      <w:pPr>
        <w:ind w:firstLine="640"/>
      </w:pPr>
    </w:p>
    <w:p w14:paraId="128FD672" w14:textId="77777777" w:rsidR="00BB4B2C" w:rsidRDefault="00BB4B2C" w:rsidP="00BB4B2C">
      <w:pPr>
        <w:ind w:firstLine="640"/>
        <w:rPr>
          <w:rFonts w:hint="eastAsia"/>
        </w:rPr>
      </w:pPr>
      <w:r>
        <w:rPr>
          <w:rFonts w:hint="eastAsia"/>
        </w:rPr>
        <w:t>九是在线签订合同。招标人应按照招标文件和中标人的投标文件，以数据电文形式与中标人签订合同，不得再行订立背离合同实质性内容的其他协议。</w:t>
      </w:r>
    </w:p>
    <w:p w14:paraId="33228EFC" w14:textId="77777777" w:rsidR="00BB4B2C" w:rsidRDefault="00BB4B2C" w:rsidP="00BB4B2C">
      <w:pPr>
        <w:ind w:firstLine="640"/>
      </w:pPr>
    </w:p>
    <w:p w14:paraId="3D090E9B" w14:textId="4FD41C88" w:rsidR="00E132A1" w:rsidRDefault="00BB4B2C" w:rsidP="00BB4B2C">
      <w:pPr>
        <w:ind w:firstLine="640"/>
      </w:pPr>
      <w:r>
        <w:rPr>
          <w:rFonts w:hint="eastAsia"/>
        </w:rPr>
        <w:lastRenderedPageBreak/>
        <w:t>十是加强应急管理。因电子交易系统故障等原因，导致交易不能进行的，可中止、终止招标投标活动及变更交易方式，并通过原招标公告发布渠道发布补充公告。</w:t>
      </w:r>
    </w:p>
    <w:sectPr w:rsidR="00E132A1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F9F1F00" w14:textId="77777777" w:rsidR="00E02E9F" w:rsidRDefault="00E02E9F" w:rsidP="00BB4B2C">
      <w:pPr>
        <w:spacing w:line="240" w:lineRule="auto"/>
        <w:ind w:firstLine="640"/>
      </w:pPr>
      <w:r>
        <w:separator/>
      </w:r>
    </w:p>
  </w:endnote>
  <w:endnote w:type="continuationSeparator" w:id="0">
    <w:p w14:paraId="41AA4646" w14:textId="77777777" w:rsidR="00E02E9F" w:rsidRDefault="00E02E9F" w:rsidP="00BB4B2C">
      <w:pPr>
        <w:spacing w:line="240" w:lineRule="auto"/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小标宋简体">
    <w:panose1 w:val="02000000000000000000"/>
    <w:charset w:val="86"/>
    <w:family w:val="auto"/>
    <w:pitch w:val="variable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2C0F1B" w14:textId="77777777" w:rsidR="00BB4B2C" w:rsidRDefault="00BB4B2C">
    <w:pPr>
      <w:pStyle w:val="aa"/>
      <w:ind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F1D57D" w14:textId="77777777" w:rsidR="00BB4B2C" w:rsidRDefault="00BB4B2C">
    <w:pPr>
      <w:pStyle w:val="aa"/>
      <w:ind w:firstLine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6AAC03" w14:textId="77777777" w:rsidR="00BB4B2C" w:rsidRDefault="00BB4B2C">
    <w:pPr>
      <w:pStyle w:val="aa"/>
      <w:ind w:firstLine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FC1009C" w14:textId="77777777" w:rsidR="00E02E9F" w:rsidRDefault="00E02E9F" w:rsidP="00BB4B2C">
      <w:pPr>
        <w:spacing w:line="240" w:lineRule="auto"/>
        <w:ind w:firstLine="640"/>
      </w:pPr>
      <w:r>
        <w:separator/>
      </w:r>
    </w:p>
  </w:footnote>
  <w:footnote w:type="continuationSeparator" w:id="0">
    <w:p w14:paraId="6126FF83" w14:textId="77777777" w:rsidR="00E02E9F" w:rsidRDefault="00E02E9F" w:rsidP="00BB4B2C">
      <w:pPr>
        <w:spacing w:line="240" w:lineRule="auto"/>
        <w:ind w:firstLine="64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955B21" w14:textId="77777777" w:rsidR="00BB4B2C" w:rsidRDefault="00BB4B2C">
    <w:pPr>
      <w:pStyle w:val="a8"/>
      <w:ind w:firstLine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136A5E" w14:textId="77777777" w:rsidR="00BB4B2C" w:rsidRDefault="00BB4B2C" w:rsidP="00BB4B2C">
    <w:pPr>
      <w:ind w:firstLine="64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36C4CB" w14:textId="77777777" w:rsidR="00BB4B2C" w:rsidRDefault="00BB4B2C">
    <w:pPr>
      <w:pStyle w:val="a8"/>
      <w:ind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4B2C"/>
    <w:rsid w:val="004C0F8B"/>
    <w:rsid w:val="00A660CD"/>
    <w:rsid w:val="00BB4B2C"/>
    <w:rsid w:val="00C66C63"/>
    <w:rsid w:val="00E02E9F"/>
    <w:rsid w:val="00E132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F9AC96"/>
  <w15:chartTrackingRefBased/>
  <w15:docId w15:val="{7A04B675-BEEA-4E90-8F8C-A65334131E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C0F8B"/>
    <w:pPr>
      <w:widowControl w:val="0"/>
      <w:spacing w:line="576" w:lineRule="exact"/>
      <w:ind w:firstLineChars="200" w:firstLine="200"/>
      <w:jc w:val="both"/>
    </w:pPr>
    <w:rPr>
      <w:rFonts w:ascii="Times New Roman" w:eastAsia="仿宋_GB2312" w:hAnsi="Times New Roman"/>
      <w:sz w:val="32"/>
    </w:rPr>
  </w:style>
  <w:style w:type="paragraph" w:styleId="1">
    <w:name w:val="heading 1"/>
    <w:basedOn w:val="a"/>
    <w:next w:val="a"/>
    <w:link w:val="10"/>
    <w:uiPriority w:val="9"/>
    <w:qFormat/>
    <w:rsid w:val="00C66C63"/>
    <w:pPr>
      <w:outlineLvl w:val="0"/>
    </w:pPr>
    <w:rPr>
      <w:rFonts w:eastAsia="黑体"/>
      <w:bCs/>
      <w:kern w:val="44"/>
      <w:szCs w:val="44"/>
    </w:rPr>
  </w:style>
  <w:style w:type="paragraph" w:styleId="2">
    <w:name w:val="heading 2"/>
    <w:basedOn w:val="a"/>
    <w:next w:val="a"/>
    <w:link w:val="20"/>
    <w:uiPriority w:val="9"/>
    <w:unhideWhenUsed/>
    <w:qFormat/>
    <w:rsid w:val="00C66C63"/>
    <w:pPr>
      <w:outlineLvl w:val="1"/>
    </w:pPr>
    <w:rPr>
      <w:rFonts w:eastAsia="楷体_GB2312" w:cstheme="majorBidi"/>
      <w:bCs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uiPriority w:val="10"/>
    <w:qFormat/>
    <w:rsid w:val="00C66C63"/>
    <w:pPr>
      <w:ind w:firstLineChars="0" w:firstLine="0"/>
      <w:jc w:val="center"/>
      <w:outlineLvl w:val="0"/>
    </w:pPr>
    <w:rPr>
      <w:rFonts w:ascii="方正小标宋简体" w:eastAsia="方正小标宋简体" w:hAnsiTheme="majorHAnsi" w:cstheme="majorBidi"/>
      <w:bCs/>
      <w:sz w:val="44"/>
      <w:szCs w:val="32"/>
    </w:rPr>
  </w:style>
  <w:style w:type="character" w:customStyle="1" w:styleId="a4">
    <w:name w:val="标题 字符"/>
    <w:basedOn w:val="a0"/>
    <w:link w:val="a3"/>
    <w:uiPriority w:val="10"/>
    <w:rsid w:val="00C66C63"/>
    <w:rPr>
      <w:rFonts w:ascii="方正小标宋简体" w:eastAsia="方正小标宋简体" w:hAnsiTheme="majorHAnsi" w:cstheme="majorBidi"/>
      <w:bCs/>
      <w:sz w:val="44"/>
      <w:szCs w:val="32"/>
    </w:rPr>
  </w:style>
  <w:style w:type="character" w:customStyle="1" w:styleId="10">
    <w:name w:val="标题 1 字符"/>
    <w:basedOn w:val="a0"/>
    <w:link w:val="1"/>
    <w:uiPriority w:val="9"/>
    <w:rsid w:val="00C66C63"/>
    <w:rPr>
      <w:rFonts w:ascii="Times New Roman" w:eastAsia="黑体" w:hAnsi="Times New Roman"/>
      <w:bCs/>
      <w:kern w:val="44"/>
      <w:sz w:val="32"/>
      <w:szCs w:val="44"/>
    </w:rPr>
  </w:style>
  <w:style w:type="character" w:customStyle="1" w:styleId="20">
    <w:name w:val="标题 2 字符"/>
    <w:basedOn w:val="a0"/>
    <w:link w:val="2"/>
    <w:uiPriority w:val="9"/>
    <w:rsid w:val="00C66C63"/>
    <w:rPr>
      <w:rFonts w:ascii="Times New Roman" w:eastAsia="楷体_GB2312" w:hAnsi="Times New Roman" w:cstheme="majorBidi"/>
      <w:bCs/>
      <w:sz w:val="32"/>
      <w:szCs w:val="32"/>
    </w:rPr>
  </w:style>
  <w:style w:type="paragraph" w:styleId="a5">
    <w:name w:val="Subtitle"/>
    <w:aliases w:val="署名"/>
    <w:basedOn w:val="a"/>
    <w:next w:val="a"/>
    <w:link w:val="a6"/>
    <w:uiPriority w:val="11"/>
    <w:qFormat/>
    <w:rsid w:val="004C0F8B"/>
    <w:pPr>
      <w:ind w:firstLineChars="0" w:firstLine="0"/>
      <w:jc w:val="center"/>
    </w:pPr>
    <w:rPr>
      <w:rFonts w:eastAsia="楷体_GB2312"/>
      <w:bCs/>
      <w:kern w:val="28"/>
      <w:szCs w:val="32"/>
    </w:rPr>
  </w:style>
  <w:style w:type="character" w:customStyle="1" w:styleId="a6">
    <w:name w:val="副标题 字符"/>
    <w:aliases w:val="署名 字符"/>
    <w:basedOn w:val="a0"/>
    <w:link w:val="a5"/>
    <w:uiPriority w:val="11"/>
    <w:rsid w:val="004C0F8B"/>
    <w:rPr>
      <w:rFonts w:ascii="Times New Roman" w:eastAsia="楷体_GB2312" w:hAnsi="Times New Roman"/>
      <w:bCs/>
      <w:kern w:val="28"/>
      <w:sz w:val="32"/>
      <w:szCs w:val="32"/>
    </w:rPr>
  </w:style>
  <w:style w:type="table" w:customStyle="1" w:styleId="a7">
    <w:name w:val="表格"/>
    <w:basedOn w:val="a1"/>
    <w:uiPriority w:val="99"/>
    <w:rsid w:val="00A660CD"/>
    <w:pPr>
      <w:jc w:val="center"/>
    </w:pPr>
    <w:rPr>
      <w:rFonts w:ascii="宋体" w:eastAsia="宋体" w:hAnsi="宋体"/>
      <w:sz w:val="28"/>
    </w:rPr>
    <w:tblPr/>
    <w:tcPr>
      <w:vAlign w:val="center"/>
    </w:tcPr>
  </w:style>
  <w:style w:type="paragraph" w:styleId="a8">
    <w:name w:val="header"/>
    <w:basedOn w:val="a"/>
    <w:link w:val="a9"/>
    <w:uiPriority w:val="99"/>
    <w:unhideWhenUsed/>
    <w:rsid w:val="00BB4B2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tLeast"/>
      <w:jc w:val="center"/>
    </w:pPr>
    <w:rPr>
      <w:sz w:val="18"/>
      <w:szCs w:val="18"/>
    </w:rPr>
  </w:style>
  <w:style w:type="character" w:customStyle="1" w:styleId="a9">
    <w:name w:val="页眉 字符"/>
    <w:basedOn w:val="a0"/>
    <w:link w:val="a8"/>
    <w:uiPriority w:val="99"/>
    <w:rsid w:val="00BB4B2C"/>
    <w:rPr>
      <w:rFonts w:ascii="Times New Roman" w:eastAsia="仿宋_GB2312" w:hAnsi="Times New Roman"/>
      <w:sz w:val="18"/>
      <w:szCs w:val="18"/>
    </w:rPr>
  </w:style>
  <w:style w:type="paragraph" w:styleId="aa">
    <w:name w:val="footer"/>
    <w:basedOn w:val="a"/>
    <w:link w:val="ab"/>
    <w:uiPriority w:val="99"/>
    <w:unhideWhenUsed/>
    <w:rsid w:val="00BB4B2C"/>
    <w:pPr>
      <w:tabs>
        <w:tab w:val="center" w:pos="4153"/>
        <w:tab w:val="right" w:pos="8306"/>
      </w:tabs>
      <w:snapToGrid w:val="0"/>
      <w:spacing w:line="240" w:lineRule="atLeast"/>
      <w:jc w:val="left"/>
    </w:pPr>
    <w:rPr>
      <w:sz w:val="18"/>
      <w:szCs w:val="18"/>
    </w:rPr>
  </w:style>
  <w:style w:type="character" w:customStyle="1" w:styleId="ab">
    <w:name w:val="页脚 字符"/>
    <w:basedOn w:val="a0"/>
    <w:link w:val="aa"/>
    <w:uiPriority w:val="99"/>
    <w:rsid w:val="00BB4B2C"/>
    <w:rPr>
      <w:rFonts w:ascii="Times New Roman" w:eastAsia="仿宋_GB2312" w:hAnsi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41244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132</Words>
  <Characters>756</Characters>
  <Application>Microsoft Office Word</Application>
  <DocSecurity>0</DocSecurity>
  <Lines>6</Lines>
  <Paragraphs>1</Paragraphs>
  <ScaleCrop>false</ScaleCrop>
  <Company/>
  <LinksUpToDate>false</LinksUpToDate>
  <CharactersWithSpaces>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邓 新潮</dc:creator>
  <cp:keywords/>
  <dc:description/>
  <cp:lastModifiedBy>邓 新潮</cp:lastModifiedBy>
  <cp:revision>1</cp:revision>
  <dcterms:created xsi:type="dcterms:W3CDTF">2022-11-24T10:26:00Z</dcterms:created>
  <dcterms:modified xsi:type="dcterms:W3CDTF">2022-11-24T10:27:00Z</dcterms:modified>
</cp:coreProperties>
</file>