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E152D" w14:textId="7F1F3DE7" w:rsidR="00BB4B2C" w:rsidRDefault="00BB4B2C" w:rsidP="00BB4B2C">
      <w:pPr>
        <w:pStyle w:val="a3"/>
      </w:pPr>
      <w:r w:rsidRPr="00BB4B2C">
        <w:rPr>
          <w:rFonts w:hint="eastAsia"/>
        </w:rPr>
        <w:t>威海市工程建设项目</w:t>
      </w:r>
    </w:p>
    <w:p w14:paraId="0197D55A" w14:textId="6C96CFF6" w:rsidR="00BB4B2C" w:rsidRDefault="00BB4B2C" w:rsidP="00BB4B2C">
      <w:pPr>
        <w:pStyle w:val="a3"/>
      </w:pPr>
      <w:r w:rsidRPr="00BB4B2C">
        <w:rPr>
          <w:rFonts w:hint="eastAsia"/>
        </w:rPr>
        <w:t>招标投标交易规则解读</w:t>
      </w:r>
    </w:p>
    <w:p w14:paraId="1B0E5812" w14:textId="77777777" w:rsidR="00BB4B2C" w:rsidRDefault="00BB4B2C" w:rsidP="00BB4B2C">
      <w:pPr>
        <w:ind w:firstLine="640"/>
      </w:pPr>
    </w:p>
    <w:p w14:paraId="2B1F18F9" w14:textId="38E09704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《威海市工程建设项目招标投标交易规则》共包括总则、招标、开评标与中标、应急管理、附则等</w:t>
      </w:r>
      <w:r>
        <w:rPr>
          <w:rFonts w:hint="eastAsia"/>
        </w:rPr>
        <w:t>6</w:t>
      </w:r>
      <w:r>
        <w:rPr>
          <w:rFonts w:hint="eastAsia"/>
        </w:rPr>
        <w:t>个章节、</w:t>
      </w:r>
      <w:r>
        <w:rPr>
          <w:rFonts w:hint="eastAsia"/>
        </w:rPr>
        <w:t>35</w:t>
      </w:r>
      <w:r>
        <w:rPr>
          <w:rFonts w:hint="eastAsia"/>
        </w:rPr>
        <w:t>条。主要有</w:t>
      </w:r>
      <w:r>
        <w:rPr>
          <w:rFonts w:hint="eastAsia"/>
        </w:rPr>
        <w:t>10</w:t>
      </w:r>
      <w:r>
        <w:rPr>
          <w:rFonts w:hint="eastAsia"/>
        </w:rPr>
        <w:t>项重点内容：</w:t>
      </w:r>
    </w:p>
    <w:p w14:paraId="630DD183" w14:textId="77777777" w:rsidR="00BB4B2C" w:rsidRDefault="00BB4B2C" w:rsidP="00BB4B2C">
      <w:pPr>
        <w:ind w:firstLine="640"/>
      </w:pPr>
    </w:p>
    <w:p w14:paraId="242B6C41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一是明确招标范围。按照《必须招标的工程项目规定》，凡列入《威海市公共资源交易目录》，依法必须进行招标的工程建设项目的勘察、设计、施工、监理以及与工程建设有关的重要设备、材料等的采购，都必须纳入各级公共资源交易平台交易。</w:t>
      </w:r>
    </w:p>
    <w:p w14:paraId="30E4AF0A" w14:textId="77777777" w:rsidR="00BB4B2C" w:rsidRDefault="00BB4B2C" w:rsidP="00BB4B2C">
      <w:pPr>
        <w:ind w:firstLine="640"/>
      </w:pPr>
    </w:p>
    <w:p w14:paraId="501BD9AA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二是优化交易流程。按照“线上交易为常态、线下交易为例外”的原则，将招标投标交易流程规范为入场登记、发布招标公告、评标专家抽取、中标结果公示、在线签订合同等</w:t>
      </w:r>
      <w:r>
        <w:rPr>
          <w:rFonts w:hint="eastAsia"/>
        </w:rPr>
        <w:t>16</w:t>
      </w:r>
      <w:r>
        <w:rPr>
          <w:rFonts w:hint="eastAsia"/>
        </w:rPr>
        <w:t>个环节。</w:t>
      </w:r>
    </w:p>
    <w:p w14:paraId="577A3017" w14:textId="77777777" w:rsidR="00BB4B2C" w:rsidRDefault="00BB4B2C" w:rsidP="00BB4B2C">
      <w:pPr>
        <w:ind w:firstLine="640"/>
      </w:pPr>
    </w:p>
    <w:p w14:paraId="0593BA53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三是规范招标条件。工程建设项目招标必须依法成立招标人，按规定履行项目审批核准备案手续，落实资金来源，施工项目招标需完成初步设计和概算审批，具备招标所需的设计图纸和技术资料。</w:t>
      </w:r>
    </w:p>
    <w:p w14:paraId="0F5FBF13" w14:textId="77777777" w:rsidR="00BB4B2C" w:rsidRDefault="00BB4B2C" w:rsidP="00BB4B2C">
      <w:pPr>
        <w:ind w:firstLine="640"/>
      </w:pPr>
    </w:p>
    <w:p w14:paraId="6731E2DD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四是统一交易平台。招标人、投标人凭数字证书，统一</w:t>
      </w:r>
      <w:r>
        <w:rPr>
          <w:rFonts w:hint="eastAsia"/>
        </w:rPr>
        <w:lastRenderedPageBreak/>
        <w:t>通过“威海市公共资源交易平台”，办理入场登记、发布招标文件、下载标书、投递投标文件，在线进行加密、解密等。</w:t>
      </w:r>
    </w:p>
    <w:p w14:paraId="7FD92381" w14:textId="77777777" w:rsidR="00BB4B2C" w:rsidRDefault="00BB4B2C" w:rsidP="00BB4B2C">
      <w:pPr>
        <w:ind w:firstLine="640"/>
      </w:pPr>
    </w:p>
    <w:p w14:paraId="4834094B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五是规范招标文件。招标文件、资格预审文件应当使用国家标准文本，采用数据电文形式的不得收取任何费用。招标公告、资格预审公告应通过威海市公共资源交易网发布，并至少载明</w:t>
      </w:r>
      <w:r>
        <w:rPr>
          <w:rFonts w:hint="eastAsia"/>
        </w:rPr>
        <w:t>8</w:t>
      </w:r>
      <w:r>
        <w:rPr>
          <w:rFonts w:hint="eastAsia"/>
        </w:rPr>
        <w:t>个方面的内容。</w:t>
      </w:r>
    </w:p>
    <w:p w14:paraId="0F555EC9" w14:textId="77777777" w:rsidR="00BB4B2C" w:rsidRDefault="00BB4B2C" w:rsidP="00BB4B2C">
      <w:pPr>
        <w:ind w:firstLine="640"/>
      </w:pPr>
    </w:p>
    <w:p w14:paraId="59220502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六是降低交易成本。将施工项目投标保证金由最高</w:t>
      </w:r>
      <w:r>
        <w:rPr>
          <w:rFonts w:hint="eastAsia"/>
        </w:rPr>
        <w:t>80</w:t>
      </w:r>
      <w:r>
        <w:rPr>
          <w:rFonts w:hint="eastAsia"/>
        </w:rPr>
        <w:t>万元下调至最高</w:t>
      </w:r>
      <w:r>
        <w:rPr>
          <w:rFonts w:hint="eastAsia"/>
        </w:rPr>
        <w:t>50</w:t>
      </w:r>
      <w:r>
        <w:rPr>
          <w:rFonts w:hint="eastAsia"/>
        </w:rPr>
        <w:t>万元，其他项目最高不超过</w:t>
      </w:r>
      <w:r>
        <w:rPr>
          <w:rFonts w:hint="eastAsia"/>
        </w:rPr>
        <w:t>10</w:t>
      </w:r>
      <w:r>
        <w:rPr>
          <w:rFonts w:hint="eastAsia"/>
        </w:rPr>
        <w:t>万元。在交通工程建设领域率先取消投标保证金。</w:t>
      </w:r>
    </w:p>
    <w:p w14:paraId="0926FC37" w14:textId="77777777" w:rsidR="00BB4B2C" w:rsidRDefault="00BB4B2C" w:rsidP="00BB4B2C">
      <w:pPr>
        <w:ind w:firstLine="640"/>
      </w:pPr>
    </w:p>
    <w:p w14:paraId="37A67F55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七是严格开标评标。招标人应当按照招标文件规定的时间、地点开标、评标，评审专家统一从省综合专家库随机抽取，投标人少于</w:t>
      </w:r>
      <w:r>
        <w:rPr>
          <w:rFonts w:hint="eastAsia"/>
        </w:rPr>
        <w:t>3</w:t>
      </w:r>
      <w:r>
        <w:rPr>
          <w:rFonts w:hint="eastAsia"/>
        </w:rPr>
        <w:t>个的重新招标。</w:t>
      </w:r>
    </w:p>
    <w:p w14:paraId="096F9FF2" w14:textId="77777777" w:rsidR="00BB4B2C" w:rsidRDefault="00BB4B2C" w:rsidP="00BB4B2C">
      <w:pPr>
        <w:ind w:firstLine="640"/>
      </w:pPr>
    </w:p>
    <w:p w14:paraId="1A57C602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八是规范评标行为。评标专家采取电子评标的方式，需要澄清或者说明的事项，应当通过公共资源交易平台交换数据电文，并在线提交电子化评标报告。</w:t>
      </w:r>
    </w:p>
    <w:p w14:paraId="3453EBF5" w14:textId="77777777" w:rsidR="00BB4B2C" w:rsidRDefault="00BB4B2C" w:rsidP="00BB4B2C">
      <w:pPr>
        <w:ind w:firstLine="640"/>
      </w:pPr>
    </w:p>
    <w:p w14:paraId="128FD672" w14:textId="77777777" w:rsidR="00BB4B2C" w:rsidRDefault="00BB4B2C" w:rsidP="00BB4B2C">
      <w:pPr>
        <w:ind w:firstLine="640"/>
        <w:rPr>
          <w:rFonts w:hint="eastAsia"/>
        </w:rPr>
      </w:pPr>
      <w:r>
        <w:rPr>
          <w:rFonts w:hint="eastAsia"/>
        </w:rPr>
        <w:t>九是在线签订合同。招标人应按照招标文件和中标人的投标文件，以数据电文形式与中标人签订合同，不得再行订立背离合同实质性内容的其他协议。</w:t>
      </w:r>
    </w:p>
    <w:p w14:paraId="33228EFC" w14:textId="77777777" w:rsidR="00BB4B2C" w:rsidRDefault="00BB4B2C" w:rsidP="00BB4B2C">
      <w:pPr>
        <w:ind w:firstLine="640"/>
      </w:pPr>
    </w:p>
    <w:p w14:paraId="3D090E9B" w14:textId="4FD41C88" w:rsidR="00E132A1" w:rsidRDefault="00BB4B2C" w:rsidP="00BB4B2C">
      <w:pPr>
        <w:ind w:firstLine="640"/>
      </w:pPr>
      <w:r>
        <w:rPr>
          <w:rFonts w:hint="eastAsia"/>
        </w:rPr>
        <w:lastRenderedPageBreak/>
        <w:t>十是加强应急管理。因电子交易系统故障等原因，导致交易不能进行的，可中止、终止招标投标活动及变更交易方式，并通过原招标公告发布渠道发布补充公告。</w:t>
      </w:r>
    </w:p>
    <w:sectPr w:rsidR="00E132A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9F1F00" w14:textId="77777777" w:rsidR="00E02E9F" w:rsidRDefault="00E02E9F" w:rsidP="00BB4B2C">
      <w:pPr>
        <w:spacing w:line="240" w:lineRule="auto"/>
        <w:ind w:firstLine="640"/>
      </w:pPr>
      <w:r>
        <w:separator/>
      </w:r>
    </w:p>
  </w:endnote>
  <w:endnote w:type="continuationSeparator" w:id="0">
    <w:p w14:paraId="41AA4646" w14:textId="77777777" w:rsidR="00E02E9F" w:rsidRDefault="00E02E9F" w:rsidP="00BB4B2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C0F1B" w14:textId="77777777" w:rsidR="00BB4B2C" w:rsidRDefault="00BB4B2C">
    <w:pPr>
      <w:pStyle w:val="a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1D57D" w14:textId="77777777" w:rsidR="00BB4B2C" w:rsidRDefault="00BB4B2C">
    <w:pPr>
      <w:pStyle w:val="a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AAC03" w14:textId="77777777" w:rsidR="00BB4B2C" w:rsidRDefault="00BB4B2C">
    <w:pPr>
      <w:pStyle w:val="aa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C1009C" w14:textId="77777777" w:rsidR="00E02E9F" w:rsidRDefault="00E02E9F" w:rsidP="00BB4B2C">
      <w:pPr>
        <w:spacing w:line="240" w:lineRule="auto"/>
        <w:ind w:firstLine="640"/>
      </w:pPr>
      <w:r>
        <w:separator/>
      </w:r>
    </w:p>
  </w:footnote>
  <w:footnote w:type="continuationSeparator" w:id="0">
    <w:p w14:paraId="6126FF83" w14:textId="77777777" w:rsidR="00E02E9F" w:rsidRDefault="00E02E9F" w:rsidP="00BB4B2C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55B21" w14:textId="77777777" w:rsidR="00BB4B2C" w:rsidRDefault="00BB4B2C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36A5E" w14:textId="77777777" w:rsidR="00BB4B2C" w:rsidRDefault="00BB4B2C" w:rsidP="00BB4B2C">
    <w:pPr>
      <w:ind w:firstLine="6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6C4CB" w14:textId="77777777" w:rsidR="00BB4B2C" w:rsidRDefault="00BB4B2C">
    <w:pPr>
      <w:pStyle w:val="a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B2C"/>
    <w:rsid w:val="004C0F8B"/>
    <w:rsid w:val="00A660CD"/>
    <w:rsid w:val="00BB4B2C"/>
    <w:rsid w:val="00C66C63"/>
    <w:rsid w:val="00E02E9F"/>
    <w:rsid w:val="00E13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F9AC96"/>
  <w15:chartTrackingRefBased/>
  <w15:docId w15:val="{7A04B675-BEEA-4E90-8F8C-A65334131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0F8B"/>
    <w:pPr>
      <w:widowControl w:val="0"/>
      <w:spacing w:line="576" w:lineRule="exact"/>
      <w:ind w:firstLineChars="200" w:firstLine="200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0"/>
    <w:uiPriority w:val="9"/>
    <w:qFormat/>
    <w:rsid w:val="00C66C63"/>
    <w:pPr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C66C63"/>
    <w:pPr>
      <w:outlineLvl w:val="1"/>
    </w:pPr>
    <w:rPr>
      <w:rFonts w:eastAsia="楷体_GB2312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C66C63"/>
    <w:pPr>
      <w:ind w:firstLineChars="0" w:firstLine="0"/>
      <w:jc w:val="center"/>
      <w:outlineLvl w:val="0"/>
    </w:pPr>
    <w:rPr>
      <w:rFonts w:ascii="方正小标宋简体" w:eastAsia="方正小标宋简体" w:hAnsiTheme="majorHAnsi" w:cstheme="majorBidi"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C66C63"/>
    <w:rPr>
      <w:rFonts w:ascii="方正小标宋简体" w:eastAsia="方正小标宋简体" w:hAnsiTheme="majorHAnsi" w:cstheme="majorBidi"/>
      <w:bCs/>
      <w:sz w:val="44"/>
      <w:szCs w:val="32"/>
    </w:rPr>
  </w:style>
  <w:style w:type="character" w:customStyle="1" w:styleId="10">
    <w:name w:val="标题 1 字符"/>
    <w:basedOn w:val="a0"/>
    <w:link w:val="1"/>
    <w:uiPriority w:val="9"/>
    <w:rsid w:val="00C66C63"/>
    <w:rPr>
      <w:rFonts w:ascii="Times New Roman" w:eastAsia="黑体" w:hAnsi="Times New Roman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rsid w:val="00C66C63"/>
    <w:rPr>
      <w:rFonts w:ascii="Times New Roman" w:eastAsia="楷体_GB2312" w:hAnsi="Times New Roman" w:cstheme="majorBidi"/>
      <w:bCs/>
      <w:sz w:val="32"/>
      <w:szCs w:val="32"/>
    </w:rPr>
  </w:style>
  <w:style w:type="paragraph" w:styleId="a5">
    <w:name w:val="Subtitle"/>
    <w:aliases w:val="署名"/>
    <w:basedOn w:val="a"/>
    <w:next w:val="a"/>
    <w:link w:val="a6"/>
    <w:uiPriority w:val="11"/>
    <w:qFormat/>
    <w:rsid w:val="004C0F8B"/>
    <w:pPr>
      <w:ind w:firstLineChars="0" w:firstLine="0"/>
      <w:jc w:val="center"/>
    </w:pPr>
    <w:rPr>
      <w:rFonts w:eastAsia="楷体_GB2312"/>
      <w:bCs/>
      <w:kern w:val="28"/>
      <w:szCs w:val="32"/>
    </w:rPr>
  </w:style>
  <w:style w:type="character" w:customStyle="1" w:styleId="a6">
    <w:name w:val="副标题 字符"/>
    <w:aliases w:val="署名 字符"/>
    <w:basedOn w:val="a0"/>
    <w:link w:val="a5"/>
    <w:uiPriority w:val="11"/>
    <w:rsid w:val="004C0F8B"/>
    <w:rPr>
      <w:rFonts w:ascii="Times New Roman" w:eastAsia="楷体_GB2312" w:hAnsi="Times New Roman"/>
      <w:bCs/>
      <w:kern w:val="28"/>
      <w:sz w:val="32"/>
      <w:szCs w:val="32"/>
    </w:rPr>
  </w:style>
  <w:style w:type="table" w:customStyle="1" w:styleId="a7">
    <w:name w:val="表格"/>
    <w:basedOn w:val="a1"/>
    <w:uiPriority w:val="99"/>
    <w:rsid w:val="00A660CD"/>
    <w:pPr>
      <w:jc w:val="center"/>
    </w:pPr>
    <w:rPr>
      <w:rFonts w:ascii="宋体" w:eastAsia="宋体" w:hAnsi="宋体"/>
      <w:sz w:val="28"/>
    </w:rPr>
    <w:tblPr/>
    <w:tcPr>
      <w:vAlign w:val="center"/>
    </w:tcPr>
  </w:style>
  <w:style w:type="paragraph" w:styleId="a8">
    <w:name w:val="header"/>
    <w:basedOn w:val="a"/>
    <w:link w:val="a9"/>
    <w:uiPriority w:val="99"/>
    <w:unhideWhenUsed/>
    <w:rsid w:val="00BB4B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BB4B2C"/>
    <w:rPr>
      <w:rFonts w:ascii="Times New Roman" w:eastAsia="仿宋_GB2312" w:hAnsi="Times New Roman"/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BB4B2C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BB4B2C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124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邓 新潮</dc:creator>
  <cp:keywords/>
  <dc:description/>
  <cp:lastModifiedBy>邓 新潮</cp:lastModifiedBy>
  <cp:revision>1</cp:revision>
  <dcterms:created xsi:type="dcterms:W3CDTF">2022-11-24T10:26:00Z</dcterms:created>
  <dcterms:modified xsi:type="dcterms:W3CDTF">2022-11-24T10:27:00Z</dcterms:modified>
</cp:coreProperties>
</file>