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hd w:val="clear" w:color="auto" w:fill="FFFFFF"/>
        <w:spacing w:before="0" w:beforeAutospacing="0" w:after="0" w:afterAutospacing="0" w:line="576" w:lineRule="exact"/>
        <w:jc w:val="center"/>
        <w:rPr>
          <w:rFonts w:hint="eastAsia" w:ascii="Times New Roman" w:hAnsi="Times New Roman" w:eastAsia="方正小标宋简体" w:cs="Times New Roman"/>
          <w:b/>
          <w:color w:val="333333"/>
          <w:sz w:val="44"/>
          <w:szCs w:val="44"/>
          <w:shd w:val="clear" w:color="auto" w:fill="FFFFFF"/>
          <w:lang w:eastAsia="zh-CN"/>
        </w:rPr>
      </w:pPr>
      <w:bookmarkStart w:id="0" w:name="_GoBack"/>
      <w:bookmarkEnd w:id="0"/>
      <w:r>
        <w:rPr>
          <w:rFonts w:hint="eastAsia" w:eastAsia="方正小标宋简体" w:cs="Times New Roman"/>
          <w:b/>
          <w:color w:val="333333"/>
          <w:sz w:val="44"/>
          <w:szCs w:val="44"/>
          <w:shd w:val="clear" w:color="auto" w:fill="FFFFFF"/>
          <w:lang w:eastAsia="zh-CN"/>
        </w:rPr>
        <w:t>威海临港区科技金融办公室</w:t>
      </w:r>
    </w:p>
    <w:p>
      <w:pPr>
        <w:pStyle w:val="5"/>
        <w:widowControl/>
        <w:shd w:val="clear" w:color="auto" w:fill="FFFFFF"/>
        <w:spacing w:before="0" w:beforeAutospacing="0" w:after="0" w:afterAutospacing="0" w:line="576" w:lineRule="exact"/>
        <w:jc w:val="center"/>
        <w:rPr>
          <w:rFonts w:hint="default" w:ascii="Times New Roman" w:hAnsi="Times New Roman" w:eastAsia="方正小标宋简体" w:cs="Times New Roman"/>
          <w:b/>
          <w:color w:val="333333"/>
          <w:sz w:val="44"/>
          <w:szCs w:val="44"/>
          <w:shd w:val="clear" w:color="auto" w:fill="FFFFFF"/>
        </w:rPr>
      </w:pPr>
      <w:r>
        <w:rPr>
          <w:rFonts w:hint="default" w:ascii="Times New Roman" w:hAnsi="Times New Roman" w:eastAsia="方正小标宋简体" w:cs="Times New Roman"/>
          <w:b/>
          <w:color w:val="333333"/>
          <w:sz w:val="44"/>
          <w:szCs w:val="44"/>
          <w:shd w:val="clear" w:color="auto" w:fill="FFFFFF"/>
        </w:rPr>
        <w:t>政府信息公开工作年度报告</w:t>
      </w:r>
    </w:p>
    <w:p>
      <w:pPr>
        <w:pStyle w:val="5"/>
        <w:widowControl/>
        <w:shd w:val="clear" w:color="auto" w:fill="FFFFFF"/>
        <w:spacing w:before="0" w:beforeAutospacing="0" w:after="0" w:afterAutospacing="0" w:line="576" w:lineRule="exact"/>
        <w:jc w:val="center"/>
        <w:rPr>
          <w:rFonts w:hint="default" w:ascii="Times New Roman" w:hAnsi="Times New Roman" w:eastAsia="方正小标宋简体" w:cs="Times New Roman"/>
          <w:b/>
          <w:color w:val="333333"/>
          <w:sz w:val="44"/>
          <w:szCs w:val="44"/>
          <w:shd w:val="clear" w:color="auto" w:fill="FFFFFF"/>
        </w:rPr>
      </w:pPr>
    </w:p>
    <w:p>
      <w:pPr>
        <w:pStyle w:val="5"/>
        <w:widowControl/>
        <w:shd w:val="clear" w:color="auto" w:fill="FFFFFF"/>
        <w:spacing w:before="0" w:beforeAutospacing="0" w:after="0" w:afterAutospacing="0" w:line="576" w:lineRule="exact"/>
        <w:ind w:firstLine="640" w:firstLineChars="200"/>
        <w:jc w:val="both"/>
        <w:rPr>
          <w:rFonts w:hint="default" w:ascii="Times New Roman" w:hAnsi="Times New Roman" w:eastAsia="黑体" w:cs="Times New Roman"/>
          <w:bCs/>
          <w:color w:val="333333"/>
          <w:sz w:val="32"/>
          <w:szCs w:val="32"/>
        </w:rPr>
      </w:pPr>
      <w:r>
        <w:rPr>
          <w:rFonts w:hint="default" w:ascii="Times New Roman" w:hAnsi="Times New Roman" w:eastAsia="黑体" w:cs="Times New Roman"/>
          <w:bCs/>
          <w:color w:val="333333"/>
          <w:sz w:val="32"/>
          <w:szCs w:val="32"/>
          <w:shd w:val="clear" w:color="auto" w:fill="FFFFFF"/>
        </w:rPr>
        <w:t>一、总体情况</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240" w:afterAutospacing="0" w:line="580" w:lineRule="exact"/>
        <w:ind w:firstLine="640" w:firstLineChars="200"/>
        <w:jc w:val="both"/>
        <w:textAlignment w:val="auto"/>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201</w:t>
      </w:r>
      <w:r>
        <w:rPr>
          <w:rFonts w:hint="eastAsia" w:ascii="仿宋_GB2312" w:hAnsi="宋体" w:eastAsia="仿宋_GB2312" w:cs="宋体"/>
          <w:color w:val="333333"/>
          <w:kern w:val="0"/>
          <w:sz w:val="32"/>
          <w:szCs w:val="32"/>
          <w:lang w:val="en-US" w:eastAsia="zh-CN"/>
        </w:rPr>
        <w:t>9</w:t>
      </w:r>
      <w:r>
        <w:rPr>
          <w:rFonts w:hint="eastAsia" w:ascii="仿宋_GB2312" w:hAnsi="宋体" w:eastAsia="仿宋_GB2312" w:cs="宋体"/>
          <w:color w:val="333333"/>
          <w:kern w:val="0"/>
          <w:sz w:val="32"/>
          <w:szCs w:val="32"/>
        </w:rPr>
        <w:t>年</w:t>
      </w:r>
      <w:r>
        <w:rPr>
          <w:rFonts w:hint="eastAsia" w:ascii="仿宋_GB2312" w:hAnsi="宋体" w:eastAsia="仿宋_GB2312" w:cs="宋体"/>
          <w:color w:val="333333"/>
          <w:kern w:val="0"/>
          <w:sz w:val="32"/>
          <w:szCs w:val="32"/>
          <w:lang w:eastAsia="zh-CN"/>
        </w:rPr>
        <w:t>以来</w:t>
      </w:r>
      <w:r>
        <w:rPr>
          <w:rFonts w:hint="eastAsia" w:ascii="仿宋_GB2312" w:hAnsi="宋体" w:eastAsia="仿宋_GB2312" w:cs="宋体"/>
          <w:color w:val="333333"/>
          <w:kern w:val="0"/>
          <w:sz w:val="32"/>
          <w:szCs w:val="32"/>
        </w:rPr>
        <w:t>区科技金融办认真贯彻落实《中华人民共和国政府信息公开条例》，全面推进政府信息公开工作，进一步增加工作透明度，切实加强服务型机关建设。</w:t>
      </w:r>
      <w:r>
        <w:rPr>
          <w:rFonts w:hint="eastAsia" w:ascii="仿宋_GB2312" w:hAnsi="宋体" w:eastAsia="仿宋_GB2312" w:cs="宋体"/>
          <w:color w:val="333333"/>
          <w:kern w:val="0"/>
          <w:sz w:val="32"/>
          <w:szCs w:val="32"/>
          <w:lang w:eastAsia="zh-CN"/>
        </w:rPr>
        <w:t>现将</w:t>
      </w:r>
      <w:r>
        <w:rPr>
          <w:rFonts w:hint="eastAsia" w:ascii="仿宋_GB2312" w:hAnsi="宋体" w:eastAsia="仿宋_GB2312" w:cs="宋体"/>
          <w:color w:val="333333"/>
          <w:kern w:val="0"/>
          <w:sz w:val="32"/>
          <w:szCs w:val="32"/>
        </w:rPr>
        <w:t>有关情况报告如下：</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（1）高度重视通过新媒体推进信息公开。第一时间发布科技动态资讯、深入解读科技</w:t>
      </w:r>
      <w:r>
        <w:rPr>
          <w:rFonts w:hint="eastAsia" w:ascii="仿宋_GB2312" w:eastAsia="仿宋_GB2312"/>
          <w:sz w:val="32"/>
          <w:szCs w:val="32"/>
          <w:lang w:eastAsia="zh-CN"/>
        </w:rPr>
        <w:t>金融</w:t>
      </w:r>
      <w:r>
        <w:rPr>
          <w:rFonts w:hint="eastAsia" w:ascii="仿宋_GB2312" w:eastAsia="仿宋_GB2312"/>
          <w:sz w:val="32"/>
          <w:szCs w:val="32"/>
        </w:rPr>
        <w:t>政策、积极回应社会关切。</w:t>
      </w:r>
      <w:r>
        <w:rPr>
          <w:rFonts w:hint="eastAsia" w:ascii="仿宋_GB2312" w:eastAsia="仿宋_GB2312"/>
          <w:sz w:val="32"/>
          <w:szCs w:val="32"/>
          <w:lang w:eastAsia="zh-CN"/>
        </w:rPr>
        <w:t>相继公开打击非法集资、“</w:t>
      </w:r>
      <w:r>
        <w:rPr>
          <w:rFonts w:hint="eastAsia" w:ascii="仿宋_GB2312" w:eastAsia="仿宋_GB2312"/>
          <w:sz w:val="32"/>
          <w:szCs w:val="32"/>
          <w:lang w:val="en-US" w:eastAsia="zh-CN"/>
        </w:rPr>
        <w:t>e租宝</w:t>
      </w:r>
      <w:r>
        <w:rPr>
          <w:rFonts w:hint="eastAsia" w:ascii="仿宋_GB2312" w:eastAsia="仿宋_GB2312"/>
          <w:sz w:val="32"/>
          <w:szCs w:val="32"/>
          <w:lang w:eastAsia="zh-CN"/>
        </w:rPr>
        <w:t>”案件通告、应急转贷专项资金管理办法、科技计划项目申报相关信息、农业科技园申报相关信息等。</w:t>
      </w:r>
      <w:r>
        <w:rPr>
          <w:rFonts w:hint="eastAsia" w:ascii="仿宋_GB2312" w:eastAsia="仿宋_GB2312"/>
          <w:sz w:val="32"/>
          <w:szCs w:val="32"/>
        </w:rPr>
        <w:br w:type="textWrapping"/>
      </w:r>
      <w:r>
        <w:rPr>
          <w:rFonts w:hint="eastAsia" w:ascii="仿宋_GB2312" w:eastAsia="仿宋_GB2312"/>
          <w:sz w:val="32"/>
          <w:szCs w:val="32"/>
        </w:rPr>
        <w:t>      （2）按要求做好财政预决算信息公开。科技金融办201</w:t>
      </w:r>
      <w:r>
        <w:rPr>
          <w:rFonts w:hint="eastAsia" w:ascii="仿宋_GB2312" w:eastAsia="仿宋_GB2312"/>
          <w:sz w:val="32"/>
          <w:szCs w:val="32"/>
          <w:lang w:val="en-US" w:eastAsia="zh-CN"/>
        </w:rPr>
        <w:t>8</w:t>
      </w:r>
      <w:r>
        <w:rPr>
          <w:rFonts w:hint="eastAsia" w:ascii="仿宋_GB2312" w:eastAsia="仿宋_GB2312"/>
          <w:sz w:val="32"/>
          <w:szCs w:val="32"/>
        </w:rPr>
        <w:t>年度决算</w:t>
      </w:r>
      <w:r>
        <w:rPr>
          <w:rFonts w:hint="eastAsia" w:ascii="仿宋_GB2312" w:eastAsia="仿宋_GB2312"/>
          <w:sz w:val="32"/>
          <w:szCs w:val="32"/>
          <w:lang w:eastAsia="zh-CN"/>
        </w:rPr>
        <w:t>和</w:t>
      </w:r>
      <w:r>
        <w:rPr>
          <w:rFonts w:hint="eastAsia" w:ascii="仿宋_GB2312" w:eastAsia="仿宋_GB2312"/>
          <w:sz w:val="32"/>
          <w:szCs w:val="32"/>
          <w:lang w:val="en-US" w:eastAsia="zh-CN"/>
        </w:rPr>
        <w:t>2019年预算</w:t>
      </w:r>
      <w:r>
        <w:rPr>
          <w:rFonts w:hint="eastAsia" w:ascii="仿宋_GB2312" w:eastAsia="仿宋_GB2312"/>
          <w:sz w:val="32"/>
          <w:szCs w:val="32"/>
        </w:rPr>
        <w:t>情况按时在门户网站公布，相关科目明细、</w:t>
      </w:r>
      <w:r>
        <w:rPr>
          <w:rFonts w:hint="eastAsia" w:ascii="仿宋_GB2312" w:eastAsia="仿宋_GB2312"/>
          <w:sz w:val="32"/>
          <w:szCs w:val="32"/>
          <w:lang w:eastAsia="zh-CN"/>
        </w:rPr>
        <w:t>“三公”经费</w:t>
      </w:r>
      <w:r>
        <w:rPr>
          <w:rFonts w:hint="eastAsia" w:ascii="仿宋_GB2312" w:eastAsia="仿宋_GB2312"/>
          <w:sz w:val="32"/>
          <w:szCs w:val="32"/>
        </w:rPr>
        <w:t>具体数值及数据变化原因均按要求予以说明。</w:t>
      </w:r>
    </w:p>
    <w:p>
      <w:pPr>
        <w:pStyle w:val="5"/>
        <w:widowControl/>
        <w:shd w:val="clear" w:color="auto" w:fill="FFFFFF"/>
        <w:spacing w:before="0" w:beforeAutospacing="0" w:after="240" w:afterAutospacing="0" w:line="576" w:lineRule="exact"/>
        <w:ind w:firstLine="640" w:firstLineChars="200"/>
        <w:jc w:val="both"/>
        <w:rPr>
          <w:rFonts w:hint="default" w:ascii="Times New Roman" w:hAnsi="Times New Roman" w:eastAsia="黑体" w:cs="Times New Roman"/>
          <w:bCs/>
          <w:color w:val="333333"/>
          <w:sz w:val="32"/>
          <w:szCs w:val="32"/>
          <w:shd w:val="clear" w:color="auto" w:fill="FFFFFF"/>
        </w:rPr>
      </w:pPr>
      <w:r>
        <w:rPr>
          <w:rFonts w:hint="default" w:ascii="Times New Roman" w:hAnsi="Times New Roman" w:eastAsia="黑体" w:cs="Times New Roman"/>
          <w:bCs/>
          <w:color w:val="333333"/>
          <w:sz w:val="32"/>
          <w:szCs w:val="32"/>
          <w:shd w:val="clear" w:color="auto" w:fill="FFFFFF"/>
        </w:rPr>
        <w:t>二、主动公开政府信息情况</w:t>
      </w:r>
    </w:p>
    <w:tbl>
      <w:tblPr>
        <w:tblStyle w:val="6"/>
        <w:tblW w:w="8140" w:type="dxa"/>
        <w:jc w:val="center"/>
        <w:tblLayout w:type="fixed"/>
        <w:tblCellMar>
          <w:top w:w="0" w:type="dxa"/>
          <w:left w:w="0" w:type="dxa"/>
          <w:bottom w:w="0" w:type="dxa"/>
          <w:right w:w="0" w:type="dxa"/>
        </w:tblCellMar>
      </w:tblPr>
      <w:tblGrid>
        <w:gridCol w:w="3113"/>
        <w:gridCol w:w="1869"/>
        <w:gridCol w:w="1277"/>
        <w:gridCol w:w="1881"/>
      </w:tblGrid>
      <w:tr>
        <w:tblPrEx>
          <w:tblCellMar>
            <w:top w:w="0" w:type="dxa"/>
            <w:left w:w="0" w:type="dxa"/>
            <w:bottom w:w="0" w:type="dxa"/>
            <w:right w:w="0" w:type="dxa"/>
          </w:tblCellMar>
        </w:tblPrEx>
        <w:trPr>
          <w:trHeight w:val="495" w:hRule="atLeast"/>
          <w:jc w:val="center"/>
        </w:trPr>
        <w:tc>
          <w:tcPr>
            <w:tcW w:w="8140" w:type="dxa"/>
            <w:gridSpan w:val="4"/>
            <w:tcBorders>
              <w:top w:val="single" w:color="auto" w:sz="8" w:space="0"/>
              <w:left w:val="single" w:color="auto" w:sz="8" w:space="0"/>
              <w:bottom w:val="single" w:color="auto" w:sz="8" w:space="0"/>
              <w:right w:val="single" w:color="auto" w:sz="8" w:space="0"/>
            </w:tcBorders>
            <w:shd w:val="clear" w:color="auto" w:fill="C6D9F1"/>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color w:val="000000"/>
                <w:kern w:val="0"/>
                <w:sz w:val="20"/>
                <w:szCs w:val="20"/>
              </w:rPr>
              <w:t>第二十条第（一）项</w:t>
            </w:r>
          </w:p>
        </w:tc>
      </w:tr>
      <w:tr>
        <w:tblPrEx>
          <w:tblCellMar>
            <w:top w:w="0" w:type="dxa"/>
            <w:left w:w="0" w:type="dxa"/>
            <w:bottom w:w="0" w:type="dxa"/>
            <w:right w:w="0" w:type="dxa"/>
          </w:tblCellMar>
        </w:tblPrEx>
        <w:trPr>
          <w:trHeight w:val="882" w:hRule="atLeas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color w:val="000000"/>
                <w:kern w:val="0"/>
                <w:sz w:val="20"/>
                <w:szCs w:val="20"/>
              </w:rPr>
              <w:t>信息内容</w:t>
            </w:r>
          </w:p>
        </w:tc>
        <w:tc>
          <w:tcPr>
            <w:tcW w:w="1869"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color w:val="000000"/>
                <w:kern w:val="0"/>
                <w:sz w:val="20"/>
                <w:szCs w:val="20"/>
              </w:rPr>
              <w:t>本年新</w:t>
            </w:r>
            <w:r>
              <w:rPr>
                <w:rFonts w:hint="default" w:ascii="Times New Roman" w:hAnsi="Times New Roman" w:cs="Times New Roman"/>
                <w:color w:val="000000"/>
                <w:kern w:val="0"/>
                <w:sz w:val="20"/>
                <w:szCs w:val="20"/>
              </w:rPr>
              <w:br w:type="textWrapping"/>
            </w:r>
            <w:r>
              <w:rPr>
                <w:rFonts w:hint="default" w:ascii="Times New Roman" w:hAnsi="Times New Roman" w:cs="Times New Roman"/>
                <w:kern w:val="0"/>
                <w:sz w:val="20"/>
                <w:szCs w:val="20"/>
              </w:rPr>
              <w:t>制作数量</w:t>
            </w:r>
          </w:p>
        </w:tc>
        <w:tc>
          <w:tcPr>
            <w:tcW w:w="1277"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color w:val="000000"/>
                <w:kern w:val="0"/>
                <w:sz w:val="20"/>
                <w:szCs w:val="20"/>
              </w:rPr>
              <w:t>本年新</w:t>
            </w:r>
            <w:r>
              <w:rPr>
                <w:rFonts w:hint="default" w:ascii="Times New Roman" w:hAnsi="Times New Roman" w:cs="Times New Roman"/>
                <w:color w:val="000000"/>
                <w:kern w:val="0"/>
                <w:sz w:val="20"/>
                <w:szCs w:val="20"/>
              </w:rPr>
              <w:br w:type="textWrapping"/>
            </w:r>
            <w:r>
              <w:rPr>
                <w:rFonts w:hint="default" w:ascii="Times New Roman" w:hAnsi="Times New Roman" w:cs="Times New Roman"/>
                <w:kern w:val="0"/>
                <w:sz w:val="20"/>
                <w:szCs w:val="20"/>
              </w:rPr>
              <w:t>公开数量</w:t>
            </w:r>
          </w:p>
        </w:tc>
        <w:tc>
          <w:tcPr>
            <w:tcW w:w="188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color w:val="000000"/>
                <w:kern w:val="0"/>
                <w:sz w:val="20"/>
                <w:szCs w:val="20"/>
              </w:rPr>
              <w:t>对外公开总数量</w:t>
            </w:r>
          </w:p>
        </w:tc>
      </w:tr>
      <w:tr>
        <w:tblPrEx>
          <w:tblCellMar>
            <w:top w:w="0" w:type="dxa"/>
            <w:left w:w="0" w:type="dxa"/>
            <w:bottom w:w="0" w:type="dxa"/>
            <w:right w:w="0" w:type="dxa"/>
          </w:tblCellMar>
        </w:tblPrEx>
        <w:trPr>
          <w:trHeight w:val="523" w:hRule="atLeas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cs="Times New Roman"/>
                <w:color w:val="000000"/>
                <w:kern w:val="0"/>
                <w:sz w:val="20"/>
                <w:szCs w:val="20"/>
              </w:rPr>
              <w:t>规章</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eastAsia" w:ascii="Times New Roman" w:hAnsi="Times New Roman" w:eastAsia="宋体" w:cs="Times New Roman"/>
                <w:lang w:val="en-US" w:eastAsia="zh-CN"/>
              </w:rPr>
            </w:pPr>
            <w:r>
              <w:rPr>
                <w:rFonts w:hint="default" w:ascii="Times New Roman" w:hAnsi="Times New Roman" w:cs="Times New Roman"/>
                <w:color w:val="000000"/>
                <w:kern w:val="0"/>
                <w:sz w:val="20"/>
                <w:szCs w:val="20"/>
              </w:rPr>
              <w:t>　　</w:t>
            </w:r>
            <w:r>
              <w:rPr>
                <w:rFonts w:hint="eastAsia" w:cs="Times New Roman"/>
                <w:color w:val="000000"/>
                <w:kern w:val="0"/>
                <w:sz w:val="20"/>
                <w:szCs w:val="20"/>
                <w:lang w:val="en-US" w:eastAsia="zh-CN"/>
              </w:rPr>
              <w:t>0</w:t>
            </w:r>
          </w:p>
        </w:tc>
        <w:tc>
          <w:tcPr>
            <w:tcW w:w="1277"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eastAsia" w:ascii="Times New Roman" w:hAnsi="Times New Roman" w:eastAsia="宋体" w:cs="Times New Roman"/>
                <w:lang w:val="en-US" w:eastAsia="zh-CN"/>
              </w:rPr>
            </w:pPr>
            <w:r>
              <w:rPr>
                <w:rFonts w:hint="default" w:ascii="Times New Roman" w:hAnsi="Times New Roman" w:cs="Times New Roman"/>
                <w:color w:val="000000"/>
                <w:kern w:val="0"/>
                <w:sz w:val="20"/>
                <w:szCs w:val="20"/>
              </w:rPr>
              <w:t> </w:t>
            </w:r>
            <w:r>
              <w:rPr>
                <w:rFonts w:hint="eastAsia" w:cs="Times New Roman"/>
                <w:color w:val="000000"/>
                <w:kern w:val="0"/>
                <w:sz w:val="20"/>
                <w:szCs w:val="20"/>
                <w:lang w:val="en-US" w:eastAsia="zh-CN"/>
              </w:rPr>
              <w:t>0</w:t>
            </w:r>
          </w:p>
        </w:tc>
        <w:tc>
          <w:tcPr>
            <w:tcW w:w="1881"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eastAsia" w:ascii="Times New Roman" w:hAnsi="Times New Roman" w:eastAsia="宋体" w:cs="Times New Roman"/>
                <w:lang w:val="en-US" w:eastAsia="zh-CN"/>
              </w:rPr>
            </w:pPr>
            <w:r>
              <w:rPr>
                <w:rFonts w:hint="default" w:ascii="Times New Roman" w:hAnsi="Times New Roman" w:cs="Times New Roman"/>
                <w:color w:val="000000"/>
                <w:kern w:val="0"/>
                <w:sz w:val="20"/>
                <w:szCs w:val="20"/>
              </w:rPr>
              <w:t>　</w:t>
            </w:r>
            <w:r>
              <w:rPr>
                <w:rFonts w:hint="eastAsia" w:cs="Times New Roman"/>
                <w:color w:val="000000"/>
                <w:kern w:val="0"/>
                <w:sz w:val="20"/>
                <w:szCs w:val="20"/>
                <w:lang w:val="en-US" w:eastAsia="zh-CN"/>
              </w:rPr>
              <w:t>0</w:t>
            </w:r>
          </w:p>
        </w:tc>
      </w:tr>
      <w:tr>
        <w:tblPrEx>
          <w:tblCellMar>
            <w:top w:w="0" w:type="dxa"/>
            <w:left w:w="0" w:type="dxa"/>
            <w:bottom w:w="0" w:type="dxa"/>
            <w:right w:w="0"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cs="Times New Roman"/>
                <w:color w:val="000000"/>
                <w:kern w:val="0"/>
                <w:sz w:val="20"/>
                <w:szCs w:val="20"/>
              </w:rPr>
              <w:t>规范性文件</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eastAsia" w:ascii="Times New Roman" w:hAnsi="Times New Roman" w:eastAsia="宋体" w:cs="Times New Roman"/>
                <w:lang w:val="en-US" w:eastAsia="zh-CN"/>
              </w:rPr>
            </w:pPr>
            <w:r>
              <w:rPr>
                <w:rFonts w:hint="default" w:ascii="Times New Roman" w:hAnsi="Times New Roman" w:cs="Times New Roman"/>
                <w:color w:val="000000"/>
                <w:kern w:val="0"/>
                <w:sz w:val="20"/>
                <w:szCs w:val="20"/>
              </w:rPr>
              <w:t>　　</w:t>
            </w:r>
            <w:r>
              <w:rPr>
                <w:rFonts w:hint="eastAsia" w:cs="Times New Roman"/>
                <w:color w:val="000000"/>
                <w:kern w:val="0"/>
                <w:sz w:val="20"/>
                <w:szCs w:val="20"/>
                <w:lang w:val="en-US" w:eastAsia="zh-CN"/>
              </w:rPr>
              <w:t>0</w:t>
            </w:r>
          </w:p>
        </w:tc>
        <w:tc>
          <w:tcPr>
            <w:tcW w:w="1277"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eastAsia" w:ascii="Times New Roman" w:hAnsi="Times New Roman" w:eastAsia="宋体" w:cs="Times New Roman"/>
                <w:lang w:val="en-US" w:eastAsia="zh-CN"/>
              </w:rPr>
            </w:pPr>
            <w:r>
              <w:rPr>
                <w:rFonts w:hint="default" w:ascii="Times New Roman" w:hAnsi="Times New Roman" w:cs="Times New Roman"/>
                <w:color w:val="000000"/>
                <w:kern w:val="0"/>
                <w:sz w:val="20"/>
                <w:szCs w:val="20"/>
              </w:rPr>
              <w:t> </w:t>
            </w:r>
            <w:r>
              <w:rPr>
                <w:rFonts w:hint="eastAsia" w:cs="Times New Roman"/>
                <w:color w:val="000000"/>
                <w:kern w:val="0"/>
                <w:sz w:val="20"/>
                <w:szCs w:val="20"/>
                <w:lang w:val="en-US" w:eastAsia="zh-CN"/>
              </w:rPr>
              <w:t>0</w:t>
            </w:r>
          </w:p>
        </w:tc>
        <w:tc>
          <w:tcPr>
            <w:tcW w:w="1881"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eastAsia" w:ascii="Times New Roman" w:hAnsi="Times New Roman" w:eastAsia="宋体" w:cs="Times New Roman"/>
                <w:lang w:val="en-US" w:eastAsia="zh-CN"/>
              </w:rPr>
            </w:pPr>
            <w:r>
              <w:rPr>
                <w:rFonts w:hint="default" w:ascii="Times New Roman" w:hAnsi="Times New Roman" w:cs="Times New Roman"/>
                <w:color w:val="000000"/>
                <w:kern w:val="0"/>
                <w:sz w:val="20"/>
                <w:szCs w:val="20"/>
              </w:rPr>
              <w:t>　</w:t>
            </w:r>
            <w:r>
              <w:rPr>
                <w:rFonts w:hint="eastAsia" w:cs="Times New Roman"/>
                <w:color w:val="000000"/>
                <w:kern w:val="0"/>
                <w:sz w:val="20"/>
                <w:szCs w:val="20"/>
                <w:lang w:val="en-US" w:eastAsia="zh-CN"/>
              </w:rPr>
              <w:t>0</w:t>
            </w:r>
          </w:p>
        </w:tc>
      </w:tr>
      <w:tr>
        <w:tblPrEx>
          <w:tblCellMar>
            <w:top w:w="0" w:type="dxa"/>
            <w:left w:w="0" w:type="dxa"/>
            <w:bottom w:w="0" w:type="dxa"/>
            <w:right w:w="0" w:type="dxa"/>
          </w:tblCellMar>
        </w:tblPrEx>
        <w:trPr>
          <w:trHeight w:val="480"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color w:val="000000"/>
                <w:kern w:val="0"/>
                <w:sz w:val="20"/>
                <w:szCs w:val="20"/>
              </w:rPr>
              <w:t>第二十条第（五）项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color w:val="000000"/>
                <w:kern w:val="0"/>
                <w:sz w:val="20"/>
                <w:szCs w:val="20"/>
              </w:rPr>
              <w:t>信息内容</w:t>
            </w:r>
          </w:p>
        </w:tc>
        <w:tc>
          <w:tcPr>
            <w:tcW w:w="1869"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color w:val="000000"/>
                <w:kern w:val="0"/>
                <w:sz w:val="20"/>
                <w:szCs w:val="20"/>
              </w:rPr>
              <w:t>上一年项目数量</w:t>
            </w:r>
          </w:p>
        </w:tc>
        <w:tc>
          <w:tcPr>
            <w:tcW w:w="1277"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color w:val="000000"/>
                <w:kern w:val="0"/>
                <w:sz w:val="20"/>
                <w:szCs w:val="20"/>
              </w:rPr>
              <w:t>本年增/减</w:t>
            </w:r>
          </w:p>
        </w:tc>
        <w:tc>
          <w:tcPr>
            <w:tcW w:w="188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color w:val="000000"/>
                <w:kern w:val="0"/>
                <w:sz w:val="20"/>
                <w:szCs w:val="20"/>
              </w:rPr>
              <w:t>处理决定数量</w:t>
            </w:r>
          </w:p>
        </w:tc>
      </w:tr>
      <w:tr>
        <w:tblPrEx>
          <w:tblCellMar>
            <w:top w:w="0" w:type="dxa"/>
            <w:left w:w="0" w:type="dxa"/>
            <w:bottom w:w="0" w:type="dxa"/>
            <w:right w:w="0" w:type="dxa"/>
          </w:tblCellMar>
        </w:tblPrEx>
        <w:trPr>
          <w:trHeight w:val="528" w:hRule="atLeas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cs="Times New Roman"/>
                <w:color w:val="000000"/>
                <w:kern w:val="0"/>
                <w:sz w:val="20"/>
                <w:szCs w:val="20"/>
              </w:rPr>
              <w:t>行政许可</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eastAsia" w:ascii="Times New Roman" w:hAnsi="Times New Roman" w:eastAsia="宋体" w:cs="Times New Roman"/>
                <w:lang w:val="en-US" w:eastAsia="zh-CN"/>
              </w:rPr>
            </w:pPr>
            <w:r>
              <w:rPr>
                <w:rFonts w:hint="default" w:ascii="Times New Roman" w:hAnsi="Times New Roman" w:cs="Times New Roman"/>
                <w:color w:val="000000"/>
                <w:kern w:val="0"/>
                <w:sz w:val="20"/>
                <w:szCs w:val="20"/>
              </w:rPr>
              <w:t>　</w:t>
            </w:r>
            <w:r>
              <w:rPr>
                <w:rFonts w:hint="eastAsia" w:cs="Times New Roman"/>
                <w:color w:val="000000"/>
                <w:kern w:val="0"/>
                <w:sz w:val="20"/>
                <w:szCs w:val="20"/>
                <w:lang w:val="en-US" w:eastAsia="zh-CN"/>
              </w:rPr>
              <w:t>0</w:t>
            </w:r>
          </w:p>
        </w:tc>
        <w:tc>
          <w:tcPr>
            <w:tcW w:w="1277"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eastAsia" w:ascii="Times New Roman" w:hAnsi="Times New Roman" w:eastAsia="宋体" w:cs="Times New Roman"/>
                <w:lang w:val="en-US" w:eastAsia="zh-CN"/>
              </w:rPr>
            </w:pPr>
            <w:r>
              <w:rPr>
                <w:rFonts w:hint="default" w:ascii="Times New Roman" w:hAnsi="Times New Roman" w:cs="Times New Roman"/>
                <w:color w:val="000000"/>
                <w:kern w:val="0"/>
                <w:sz w:val="20"/>
                <w:szCs w:val="20"/>
              </w:rPr>
              <w:t>　</w:t>
            </w:r>
            <w:r>
              <w:rPr>
                <w:rFonts w:hint="eastAsia" w:cs="Times New Roman"/>
                <w:color w:val="000000"/>
                <w:kern w:val="0"/>
                <w:sz w:val="20"/>
                <w:szCs w:val="20"/>
                <w:lang w:val="en-US" w:eastAsia="zh-CN"/>
              </w:rPr>
              <w:t>0</w:t>
            </w:r>
          </w:p>
        </w:tc>
        <w:tc>
          <w:tcPr>
            <w:tcW w:w="1881"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eastAsia" w:ascii="Times New Roman" w:hAnsi="Times New Roman" w:eastAsia="宋体" w:cs="Times New Roman"/>
                <w:lang w:val="en-US" w:eastAsia="zh-CN"/>
              </w:rPr>
            </w:pPr>
            <w:r>
              <w:rPr>
                <w:rFonts w:hint="default" w:ascii="Times New Roman" w:hAnsi="Times New Roman" w:cs="Times New Roman"/>
                <w:color w:val="000000"/>
                <w:kern w:val="0"/>
                <w:sz w:val="20"/>
                <w:szCs w:val="20"/>
              </w:rPr>
              <w:t>　</w:t>
            </w:r>
            <w:r>
              <w:rPr>
                <w:rFonts w:hint="eastAsia" w:cs="Times New Roman"/>
                <w:color w:val="000000"/>
                <w:kern w:val="0"/>
                <w:sz w:val="20"/>
                <w:szCs w:val="20"/>
                <w:lang w:val="en-US" w:eastAsia="zh-CN"/>
              </w:rPr>
              <w:t>0</w:t>
            </w:r>
          </w:p>
        </w:tc>
      </w:tr>
      <w:tr>
        <w:tblPrEx>
          <w:tblCellMar>
            <w:top w:w="0" w:type="dxa"/>
            <w:left w:w="0" w:type="dxa"/>
            <w:bottom w:w="0" w:type="dxa"/>
            <w:right w:w="0" w:type="dxa"/>
          </w:tblCellMar>
        </w:tblPrEx>
        <w:trPr>
          <w:trHeight w:val="550" w:hRule="atLeas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cs="Times New Roman"/>
                <w:color w:val="000000"/>
                <w:kern w:val="0"/>
                <w:sz w:val="20"/>
                <w:szCs w:val="20"/>
              </w:rPr>
              <w:t>其他对外管理服务事项</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eastAsia" w:ascii="Times New Roman" w:hAnsi="Times New Roman" w:eastAsia="宋体" w:cs="Times New Roman"/>
                <w:lang w:val="en-US" w:eastAsia="zh-CN"/>
              </w:rPr>
            </w:pPr>
            <w:r>
              <w:rPr>
                <w:rFonts w:hint="default" w:ascii="Times New Roman" w:hAnsi="Times New Roman" w:cs="Times New Roman"/>
                <w:color w:val="000000"/>
                <w:kern w:val="0"/>
                <w:sz w:val="20"/>
                <w:szCs w:val="20"/>
              </w:rPr>
              <w:t>　</w:t>
            </w:r>
            <w:r>
              <w:rPr>
                <w:rFonts w:hint="eastAsia" w:cs="Times New Roman"/>
                <w:color w:val="000000"/>
                <w:kern w:val="0"/>
                <w:sz w:val="20"/>
                <w:szCs w:val="20"/>
                <w:lang w:val="en-US" w:eastAsia="zh-CN"/>
              </w:rPr>
              <w:t>0</w:t>
            </w:r>
          </w:p>
        </w:tc>
        <w:tc>
          <w:tcPr>
            <w:tcW w:w="1277"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eastAsia" w:ascii="Times New Roman" w:hAnsi="Times New Roman" w:eastAsia="宋体" w:cs="Times New Roman"/>
                <w:lang w:val="en-US" w:eastAsia="zh-CN"/>
              </w:rPr>
            </w:pPr>
            <w:r>
              <w:rPr>
                <w:rFonts w:hint="default" w:ascii="Times New Roman" w:hAnsi="Times New Roman" w:cs="Times New Roman"/>
                <w:color w:val="000000"/>
                <w:kern w:val="0"/>
                <w:sz w:val="20"/>
                <w:szCs w:val="20"/>
              </w:rPr>
              <w:t>　</w:t>
            </w:r>
            <w:r>
              <w:rPr>
                <w:rFonts w:hint="eastAsia" w:cs="Times New Roman"/>
                <w:color w:val="000000"/>
                <w:kern w:val="0"/>
                <w:sz w:val="20"/>
                <w:szCs w:val="20"/>
                <w:lang w:val="en-US" w:eastAsia="zh-CN"/>
              </w:rPr>
              <w:t>0</w:t>
            </w:r>
          </w:p>
        </w:tc>
        <w:tc>
          <w:tcPr>
            <w:tcW w:w="1881"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eastAsia" w:ascii="Times New Roman" w:hAnsi="Times New Roman" w:eastAsia="宋体" w:cs="Times New Roman"/>
                <w:lang w:val="en-US" w:eastAsia="zh-CN"/>
              </w:rPr>
            </w:pPr>
            <w:r>
              <w:rPr>
                <w:rFonts w:hint="default" w:ascii="Times New Roman" w:hAnsi="Times New Roman" w:cs="Times New Roman"/>
                <w:color w:val="000000"/>
                <w:kern w:val="0"/>
                <w:sz w:val="20"/>
                <w:szCs w:val="20"/>
              </w:rPr>
              <w:t>　</w:t>
            </w:r>
            <w:r>
              <w:rPr>
                <w:rFonts w:hint="eastAsia" w:cs="Times New Roman"/>
                <w:color w:val="000000"/>
                <w:kern w:val="0"/>
                <w:sz w:val="20"/>
                <w:szCs w:val="20"/>
                <w:lang w:val="en-US" w:eastAsia="zh-CN"/>
              </w:rPr>
              <w:t>0</w:t>
            </w:r>
          </w:p>
        </w:tc>
      </w:tr>
      <w:tr>
        <w:tblPrEx>
          <w:tblCellMar>
            <w:top w:w="0" w:type="dxa"/>
            <w:left w:w="0" w:type="dxa"/>
            <w:bottom w:w="0" w:type="dxa"/>
            <w:right w:w="0" w:type="dxa"/>
          </w:tblCellMar>
        </w:tblPrEx>
        <w:trPr>
          <w:trHeight w:val="406"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color w:val="000000"/>
                <w:kern w:val="0"/>
                <w:sz w:val="20"/>
                <w:szCs w:val="20"/>
              </w:rPr>
              <w:t>第二十条第（六）项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color w:val="000000"/>
                <w:kern w:val="0"/>
                <w:sz w:val="20"/>
                <w:szCs w:val="20"/>
              </w:rPr>
              <w:t>信息内容</w:t>
            </w:r>
          </w:p>
        </w:tc>
        <w:tc>
          <w:tcPr>
            <w:tcW w:w="1869"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color w:val="000000"/>
                <w:kern w:val="0"/>
                <w:sz w:val="20"/>
                <w:szCs w:val="20"/>
              </w:rPr>
              <w:t>上一年项目数量</w:t>
            </w:r>
          </w:p>
        </w:tc>
        <w:tc>
          <w:tcPr>
            <w:tcW w:w="1277"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color w:val="000000"/>
                <w:kern w:val="0"/>
                <w:sz w:val="20"/>
                <w:szCs w:val="20"/>
              </w:rPr>
              <w:t>本年增/减</w:t>
            </w:r>
          </w:p>
        </w:tc>
        <w:tc>
          <w:tcPr>
            <w:tcW w:w="188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color w:val="000000"/>
                <w:kern w:val="0"/>
                <w:sz w:val="20"/>
                <w:szCs w:val="20"/>
              </w:rPr>
              <w:t>处理决定数量</w:t>
            </w:r>
          </w:p>
        </w:tc>
      </w:tr>
      <w:tr>
        <w:tblPrEx>
          <w:tblCellMar>
            <w:top w:w="0" w:type="dxa"/>
            <w:left w:w="0" w:type="dxa"/>
            <w:bottom w:w="0" w:type="dxa"/>
            <w:right w:w="0" w:type="dxa"/>
          </w:tblCellMar>
        </w:tblPrEx>
        <w:trPr>
          <w:trHeight w:val="430" w:hRule="atLeas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cs="Times New Roman"/>
                <w:color w:val="000000"/>
                <w:kern w:val="0"/>
                <w:sz w:val="20"/>
                <w:szCs w:val="20"/>
              </w:rPr>
              <w:t>行政处罚</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eastAsia" w:ascii="Times New Roman" w:hAnsi="Times New Roman" w:eastAsia="宋体" w:cs="Times New Roman"/>
                <w:lang w:val="en-US" w:eastAsia="zh-CN"/>
              </w:rPr>
            </w:pPr>
            <w:r>
              <w:rPr>
                <w:rFonts w:hint="default" w:ascii="Times New Roman" w:hAnsi="Times New Roman" w:cs="Times New Roman"/>
                <w:color w:val="000000"/>
                <w:kern w:val="0"/>
                <w:sz w:val="20"/>
                <w:szCs w:val="20"/>
              </w:rPr>
              <w:t>　</w:t>
            </w:r>
            <w:r>
              <w:rPr>
                <w:rFonts w:hint="eastAsia" w:cs="Times New Roman"/>
                <w:color w:val="000000"/>
                <w:kern w:val="0"/>
                <w:sz w:val="20"/>
                <w:szCs w:val="20"/>
                <w:lang w:val="en-US" w:eastAsia="zh-CN"/>
              </w:rPr>
              <w:t>0</w:t>
            </w:r>
          </w:p>
        </w:tc>
        <w:tc>
          <w:tcPr>
            <w:tcW w:w="1277"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eastAsia" w:ascii="Times New Roman" w:hAnsi="Times New Roman" w:eastAsia="宋体" w:cs="Times New Roman"/>
                <w:lang w:val="en-US" w:eastAsia="zh-CN"/>
              </w:rPr>
            </w:pPr>
            <w:r>
              <w:rPr>
                <w:rFonts w:hint="default" w:ascii="Times New Roman" w:hAnsi="Times New Roman" w:cs="Times New Roman"/>
                <w:color w:val="000000"/>
                <w:kern w:val="0"/>
                <w:sz w:val="20"/>
                <w:szCs w:val="20"/>
              </w:rPr>
              <w:t>　</w:t>
            </w:r>
            <w:r>
              <w:rPr>
                <w:rFonts w:hint="eastAsia" w:cs="Times New Roman"/>
                <w:color w:val="000000"/>
                <w:kern w:val="0"/>
                <w:sz w:val="20"/>
                <w:szCs w:val="20"/>
                <w:lang w:val="en-US" w:eastAsia="zh-CN"/>
              </w:rPr>
              <w:t>0</w:t>
            </w:r>
          </w:p>
        </w:tc>
        <w:tc>
          <w:tcPr>
            <w:tcW w:w="1881"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eastAsia" w:ascii="Times New Roman" w:hAnsi="Times New Roman" w:eastAsia="宋体" w:cs="Times New Roman"/>
                <w:lang w:val="en-US" w:eastAsia="zh-CN"/>
              </w:rPr>
            </w:pPr>
            <w:r>
              <w:rPr>
                <w:rFonts w:hint="default" w:ascii="Times New Roman" w:hAnsi="Times New Roman" w:cs="Times New Roman"/>
                <w:color w:val="000000"/>
                <w:kern w:val="0"/>
                <w:sz w:val="20"/>
                <w:szCs w:val="20"/>
              </w:rPr>
              <w:t>　</w:t>
            </w:r>
            <w:r>
              <w:rPr>
                <w:rFonts w:hint="eastAsia" w:cs="Times New Roman"/>
                <w:color w:val="000000"/>
                <w:kern w:val="0"/>
                <w:sz w:val="20"/>
                <w:szCs w:val="20"/>
                <w:lang w:val="en-US" w:eastAsia="zh-CN"/>
              </w:rPr>
              <w:t>0</w:t>
            </w:r>
          </w:p>
        </w:tc>
      </w:tr>
      <w:tr>
        <w:tblPrEx>
          <w:tblCellMar>
            <w:top w:w="0" w:type="dxa"/>
            <w:left w:w="0" w:type="dxa"/>
            <w:bottom w:w="0" w:type="dxa"/>
            <w:right w:w="0" w:type="dxa"/>
          </w:tblCellMar>
        </w:tblPrEx>
        <w:trPr>
          <w:trHeight w:val="409" w:hRule="atLeas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cs="Times New Roman"/>
                <w:color w:val="000000"/>
                <w:kern w:val="0"/>
                <w:sz w:val="20"/>
                <w:szCs w:val="20"/>
              </w:rPr>
              <w:t>行政强制</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eastAsia" w:ascii="Times New Roman" w:hAnsi="Times New Roman" w:eastAsia="宋体" w:cs="Times New Roman"/>
                <w:lang w:val="en-US" w:eastAsia="zh-CN"/>
              </w:rPr>
            </w:pPr>
            <w:r>
              <w:rPr>
                <w:rFonts w:hint="default" w:ascii="Times New Roman" w:hAnsi="Times New Roman" w:cs="Times New Roman"/>
                <w:color w:val="000000"/>
                <w:kern w:val="0"/>
                <w:sz w:val="20"/>
                <w:szCs w:val="20"/>
              </w:rPr>
              <w:t>　</w:t>
            </w:r>
            <w:r>
              <w:rPr>
                <w:rFonts w:hint="eastAsia" w:cs="Times New Roman"/>
                <w:color w:val="000000"/>
                <w:kern w:val="0"/>
                <w:sz w:val="20"/>
                <w:szCs w:val="20"/>
                <w:lang w:val="en-US" w:eastAsia="zh-CN"/>
              </w:rPr>
              <w:t>0</w:t>
            </w:r>
          </w:p>
        </w:tc>
        <w:tc>
          <w:tcPr>
            <w:tcW w:w="1277"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eastAsia" w:ascii="Times New Roman" w:hAnsi="Times New Roman" w:eastAsia="宋体" w:cs="Times New Roman"/>
                <w:lang w:val="en-US" w:eastAsia="zh-CN"/>
              </w:rPr>
            </w:pPr>
            <w:r>
              <w:rPr>
                <w:rFonts w:hint="default" w:ascii="Times New Roman" w:hAnsi="Times New Roman" w:cs="Times New Roman"/>
                <w:color w:val="000000"/>
                <w:kern w:val="0"/>
                <w:sz w:val="20"/>
                <w:szCs w:val="20"/>
              </w:rPr>
              <w:t>　</w:t>
            </w:r>
            <w:r>
              <w:rPr>
                <w:rFonts w:hint="eastAsia" w:cs="Times New Roman"/>
                <w:color w:val="000000"/>
                <w:kern w:val="0"/>
                <w:sz w:val="20"/>
                <w:szCs w:val="20"/>
                <w:lang w:val="en-US" w:eastAsia="zh-CN"/>
              </w:rPr>
              <w:t>0</w:t>
            </w:r>
          </w:p>
        </w:tc>
        <w:tc>
          <w:tcPr>
            <w:tcW w:w="1881"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eastAsia" w:ascii="Times New Roman" w:hAnsi="Times New Roman" w:eastAsia="宋体" w:cs="Times New Roman"/>
                <w:lang w:val="en-US" w:eastAsia="zh-CN"/>
              </w:rPr>
            </w:pPr>
            <w:r>
              <w:rPr>
                <w:rFonts w:hint="default" w:ascii="Times New Roman" w:hAnsi="Times New Roman" w:cs="Times New Roman"/>
                <w:color w:val="000000"/>
                <w:kern w:val="0"/>
                <w:sz w:val="20"/>
                <w:szCs w:val="20"/>
              </w:rPr>
              <w:t>　</w:t>
            </w:r>
            <w:r>
              <w:rPr>
                <w:rFonts w:hint="eastAsia" w:cs="Times New Roman"/>
                <w:color w:val="000000"/>
                <w:kern w:val="0"/>
                <w:sz w:val="20"/>
                <w:szCs w:val="20"/>
                <w:lang w:val="en-US" w:eastAsia="zh-CN"/>
              </w:rPr>
              <w:t>0</w:t>
            </w:r>
          </w:p>
        </w:tc>
      </w:tr>
      <w:tr>
        <w:tblPrEx>
          <w:tblCellMar>
            <w:top w:w="0" w:type="dxa"/>
            <w:left w:w="0" w:type="dxa"/>
            <w:bottom w:w="0" w:type="dxa"/>
            <w:right w:w="0" w:type="dxa"/>
          </w:tblCellMar>
        </w:tblPrEx>
        <w:trPr>
          <w:trHeight w:val="474"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color w:val="000000"/>
                <w:kern w:val="0"/>
                <w:sz w:val="20"/>
                <w:szCs w:val="20"/>
              </w:rPr>
              <w:t>第二十条第（八）项</w:t>
            </w:r>
          </w:p>
        </w:tc>
      </w:tr>
      <w:tr>
        <w:tblPrEx>
          <w:tblCellMar>
            <w:top w:w="0" w:type="dxa"/>
            <w:left w:w="0" w:type="dxa"/>
            <w:bottom w:w="0" w:type="dxa"/>
            <w:right w:w="0"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color w:val="000000"/>
                <w:kern w:val="0"/>
                <w:sz w:val="20"/>
                <w:szCs w:val="20"/>
              </w:rPr>
              <w:t>信息内容</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cs="Times New Roman"/>
                <w:color w:val="000000"/>
                <w:kern w:val="0"/>
                <w:sz w:val="20"/>
                <w:szCs w:val="20"/>
              </w:rPr>
              <w:t>上一年项目数量</w:t>
            </w:r>
          </w:p>
        </w:tc>
        <w:tc>
          <w:tcPr>
            <w:tcW w:w="3158" w:type="dxa"/>
            <w:gridSpan w:val="2"/>
            <w:tcBorders>
              <w:top w:val="single" w:color="auto" w:sz="8" w:space="0"/>
              <w:left w:val="nil"/>
              <w:bottom w:val="single" w:color="auto" w:sz="8" w:space="0"/>
              <w:right w:val="single" w:color="000000"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color w:val="000000"/>
                <w:kern w:val="0"/>
                <w:sz w:val="20"/>
                <w:szCs w:val="20"/>
              </w:rPr>
              <w:t>本年增/减</w:t>
            </w:r>
          </w:p>
        </w:tc>
      </w:tr>
      <w:tr>
        <w:tblPrEx>
          <w:tblCellMar>
            <w:top w:w="0" w:type="dxa"/>
            <w:left w:w="0" w:type="dxa"/>
            <w:bottom w:w="0" w:type="dxa"/>
            <w:right w:w="0" w:type="dxa"/>
          </w:tblCellMar>
        </w:tblPrEx>
        <w:trPr>
          <w:trHeight w:val="551" w:hRule="atLeas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cs="Times New Roman"/>
                <w:color w:val="000000"/>
                <w:kern w:val="0"/>
                <w:sz w:val="20"/>
                <w:szCs w:val="20"/>
              </w:rPr>
              <w:t>行政事业性收费</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eastAsia" w:ascii="Times New Roman" w:hAnsi="Times New Roman" w:eastAsia="宋体" w:cs="Times New Roman"/>
                <w:lang w:val="en-US" w:eastAsia="zh-CN"/>
              </w:rPr>
            </w:pPr>
            <w:r>
              <w:rPr>
                <w:rFonts w:hint="default" w:ascii="Times New Roman" w:hAnsi="Times New Roman" w:cs="Times New Roman"/>
                <w:color w:val="000000"/>
                <w:kern w:val="0"/>
                <w:sz w:val="20"/>
                <w:szCs w:val="20"/>
              </w:rPr>
              <w:t>　</w:t>
            </w:r>
            <w:r>
              <w:rPr>
                <w:rFonts w:hint="eastAsia" w:cs="Times New Roman"/>
                <w:color w:val="000000"/>
                <w:kern w:val="0"/>
                <w:sz w:val="20"/>
                <w:szCs w:val="20"/>
                <w:lang w:val="en-US" w:eastAsia="zh-CN"/>
              </w:rPr>
              <w:t>0</w:t>
            </w:r>
          </w:p>
        </w:tc>
        <w:tc>
          <w:tcPr>
            <w:tcW w:w="3158" w:type="dxa"/>
            <w:gridSpan w:val="2"/>
            <w:tcBorders>
              <w:top w:val="nil"/>
              <w:left w:val="nil"/>
              <w:bottom w:val="single" w:color="auto" w:sz="8" w:space="0"/>
              <w:right w:val="single" w:color="000000" w:sz="8" w:space="0"/>
            </w:tcBorders>
            <w:tcMar>
              <w:left w:w="108" w:type="dxa"/>
              <w:right w:w="108" w:type="dxa"/>
            </w:tcMar>
            <w:vAlign w:val="center"/>
          </w:tcPr>
          <w:p>
            <w:pPr>
              <w:widowControl/>
              <w:spacing w:after="180"/>
              <w:jc w:val="center"/>
              <w:rPr>
                <w:rFonts w:hint="eastAsia" w:ascii="Times New Roman" w:hAnsi="Times New Roman" w:eastAsia="宋体" w:cs="Times New Roman"/>
                <w:lang w:val="en-US" w:eastAsia="zh-CN"/>
              </w:rPr>
            </w:pPr>
            <w:r>
              <w:rPr>
                <w:rFonts w:hint="default" w:ascii="Times New Roman" w:hAnsi="Times New Roman" w:cs="Times New Roman"/>
                <w:color w:val="000000"/>
                <w:kern w:val="0"/>
                <w:sz w:val="20"/>
                <w:szCs w:val="20"/>
              </w:rPr>
              <w:t> </w:t>
            </w:r>
            <w:r>
              <w:rPr>
                <w:rFonts w:hint="eastAsia" w:cs="Times New Roman"/>
                <w:color w:val="000000"/>
                <w:kern w:val="0"/>
                <w:sz w:val="20"/>
                <w:szCs w:val="20"/>
                <w:lang w:val="en-US" w:eastAsia="zh-CN"/>
              </w:rPr>
              <w:t>0</w:t>
            </w:r>
          </w:p>
        </w:tc>
      </w:tr>
      <w:tr>
        <w:tblPrEx>
          <w:tblCellMar>
            <w:top w:w="0" w:type="dxa"/>
            <w:left w:w="0" w:type="dxa"/>
            <w:bottom w:w="0" w:type="dxa"/>
            <w:right w:w="0" w:type="dxa"/>
          </w:tblCellMar>
        </w:tblPrEx>
        <w:trPr>
          <w:trHeight w:val="476"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color w:val="000000"/>
                <w:kern w:val="0"/>
                <w:sz w:val="20"/>
                <w:szCs w:val="20"/>
              </w:rPr>
              <w:t>第二十条第（九）项</w:t>
            </w:r>
          </w:p>
        </w:tc>
      </w:tr>
      <w:tr>
        <w:tblPrEx>
          <w:tblCellMar>
            <w:top w:w="0" w:type="dxa"/>
            <w:left w:w="0" w:type="dxa"/>
            <w:bottom w:w="0" w:type="dxa"/>
            <w:right w:w="0" w:type="dxa"/>
          </w:tblCellMar>
        </w:tblPrEx>
        <w:trPr>
          <w:trHeight w:val="585" w:hRule="atLeas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color w:val="000000"/>
                <w:kern w:val="0"/>
                <w:sz w:val="20"/>
                <w:szCs w:val="20"/>
              </w:rPr>
              <w:t>信息内容</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color w:val="000000"/>
                <w:kern w:val="0"/>
                <w:sz w:val="20"/>
                <w:szCs w:val="20"/>
              </w:rPr>
              <w:t>采购项目数量</w:t>
            </w:r>
          </w:p>
        </w:tc>
        <w:tc>
          <w:tcPr>
            <w:tcW w:w="3158" w:type="dxa"/>
            <w:gridSpan w:val="2"/>
            <w:tcBorders>
              <w:top w:val="single" w:color="auto" w:sz="8" w:space="0"/>
              <w:left w:val="nil"/>
              <w:bottom w:val="single" w:color="auto" w:sz="8" w:space="0"/>
              <w:right w:val="single" w:color="000000"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color w:val="000000"/>
                <w:kern w:val="0"/>
                <w:sz w:val="20"/>
                <w:szCs w:val="20"/>
              </w:rPr>
              <w:t>采购总金额</w:t>
            </w:r>
          </w:p>
        </w:tc>
      </w:tr>
      <w:tr>
        <w:tblPrEx>
          <w:tblCellMar>
            <w:top w:w="0" w:type="dxa"/>
            <w:left w:w="0" w:type="dxa"/>
            <w:bottom w:w="0" w:type="dxa"/>
            <w:right w:w="0" w:type="dxa"/>
          </w:tblCellMar>
        </w:tblPrEx>
        <w:trPr>
          <w:trHeight w:val="539" w:hRule="atLeas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cs="Times New Roman"/>
                <w:color w:val="000000"/>
                <w:kern w:val="0"/>
                <w:sz w:val="20"/>
                <w:szCs w:val="20"/>
              </w:rPr>
              <w:t>政府集中采购</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eastAsia" w:ascii="Times New Roman" w:hAnsi="Times New Roman" w:eastAsia="宋体" w:cs="Times New Roman"/>
                <w:lang w:val="en-US" w:eastAsia="zh-CN"/>
              </w:rPr>
            </w:pPr>
            <w:r>
              <w:rPr>
                <w:rFonts w:hint="default" w:ascii="Times New Roman" w:hAnsi="Times New Roman" w:cs="Times New Roman"/>
                <w:color w:val="000000"/>
                <w:kern w:val="0"/>
                <w:sz w:val="20"/>
                <w:szCs w:val="20"/>
              </w:rPr>
              <w:t>　</w:t>
            </w:r>
            <w:r>
              <w:rPr>
                <w:rFonts w:hint="eastAsia" w:cs="Times New Roman"/>
                <w:color w:val="000000"/>
                <w:kern w:val="0"/>
                <w:sz w:val="20"/>
                <w:szCs w:val="20"/>
                <w:lang w:val="en-US" w:eastAsia="zh-CN"/>
              </w:rPr>
              <w:t>0</w:t>
            </w:r>
          </w:p>
        </w:tc>
        <w:tc>
          <w:tcPr>
            <w:tcW w:w="3158" w:type="dxa"/>
            <w:gridSpan w:val="2"/>
            <w:tcBorders>
              <w:top w:val="nil"/>
              <w:left w:val="nil"/>
              <w:bottom w:val="single" w:color="auto" w:sz="8" w:space="0"/>
              <w:right w:val="single" w:color="000000" w:sz="8" w:space="0"/>
            </w:tcBorders>
            <w:tcMar>
              <w:left w:w="108" w:type="dxa"/>
              <w:right w:w="108" w:type="dxa"/>
            </w:tcMar>
            <w:vAlign w:val="center"/>
          </w:tcPr>
          <w:p>
            <w:pPr>
              <w:rPr>
                <w:rFonts w:hint="eastAsia" w:ascii="Times New Roman" w:hAnsi="Times New Roman" w:eastAsia="宋体" w:cs="Times New Roman"/>
                <w:sz w:val="24"/>
                <w:lang w:val="en-US" w:eastAsia="zh-CN"/>
              </w:rPr>
            </w:pPr>
            <w:r>
              <w:rPr>
                <w:rFonts w:hint="eastAsia" w:cs="Times New Roman"/>
                <w:sz w:val="24"/>
                <w:lang w:val="en-US" w:eastAsia="zh-CN"/>
              </w:rPr>
              <w:t>0</w:t>
            </w:r>
          </w:p>
        </w:tc>
      </w:tr>
    </w:tbl>
    <w:p>
      <w:pPr>
        <w:pStyle w:val="5"/>
        <w:widowControl/>
        <w:shd w:val="clear" w:color="auto" w:fill="FFFFFF"/>
        <w:spacing w:before="0" w:beforeAutospacing="0" w:after="0" w:afterAutospacing="0"/>
        <w:ind w:firstLine="420"/>
        <w:jc w:val="both"/>
        <w:rPr>
          <w:rFonts w:hint="default" w:ascii="Times New Roman" w:hAnsi="Times New Roman" w:cs="Times New Roman"/>
          <w:color w:val="333333"/>
        </w:rPr>
      </w:pPr>
    </w:p>
    <w:p>
      <w:pPr>
        <w:pStyle w:val="5"/>
        <w:widowControl/>
        <w:shd w:val="clear" w:color="auto" w:fill="FFFFFF"/>
        <w:spacing w:before="0" w:beforeAutospacing="0" w:after="0" w:afterAutospacing="0"/>
        <w:ind w:firstLine="640" w:firstLineChars="200"/>
        <w:jc w:val="both"/>
        <w:rPr>
          <w:rFonts w:hint="default" w:ascii="Times New Roman" w:hAnsi="Times New Roman" w:eastAsia="黑体" w:cs="Times New Roman"/>
          <w:bCs/>
          <w:color w:val="333333"/>
          <w:sz w:val="32"/>
          <w:szCs w:val="32"/>
          <w:shd w:val="clear" w:color="auto" w:fill="FFFFFF"/>
        </w:rPr>
      </w:pPr>
      <w:r>
        <w:rPr>
          <w:rFonts w:hint="default" w:ascii="Times New Roman" w:hAnsi="Times New Roman" w:eastAsia="黑体" w:cs="Times New Roman"/>
          <w:bCs/>
          <w:color w:val="333333"/>
          <w:sz w:val="32"/>
          <w:szCs w:val="32"/>
          <w:shd w:val="clear" w:color="auto" w:fill="FFFFFF"/>
        </w:rPr>
        <w:t>三、收到和处理政府信息公开申请情况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8"/>
        <w:gridCol w:w="854"/>
        <w:gridCol w:w="2086"/>
        <w:gridCol w:w="814"/>
        <w:gridCol w:w="755"/>
        <w:gridCol w:w="755"/>
        <w:gridCol w:w="814"/>
        <w:gridCol w:w="974"/>
        <w:gridCol w:w="712"/>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8" w:type="dxa"/>
            <w:gridSpan w:val="3"/>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rPr>
              <w:t>（本列数据的勾稽关系为：第一项加第二项之和，等于第三项加第四项之和）</w:t>
            </w:r>
          </w:p>
        </w:tc>
        <w:tc>
          <w:tcPr>
            <w:tcW w:w="5513" w:type="dxa"/>
            <w:gridSpan w:val="7"/>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8" w:type="dxa"/>
            <w:gridSpan w:val="3"/>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14" w:type="dxa"/>
            <w:vMerge w:val="restart"/>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rPr>
              <w:t>自然人</w:t>
            </w:r>
          </w:p>
        </w:tc>
        <w:tc>
          <w:tcPr>
            <w:tcW w:w="4010" w:type="dxa"/>
            <w:gridSpan w:val="5"/>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rPr>
              <w:t>法人或其他组织</w:t>
            </w:r>
          </w:p>
        </w:tc>
        <w:tc>
          <w:tcPr>
            <w:tcW w:w="689"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8" w:type="dxa"/>
            <w:gridSpan w:val="3"/>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14"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rPr>
              <w:t>商业企业</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rPr>
              <w:t>科研机构</w:t>
            </w:r>
          </w:p>
        </w:tc>
        <w:tc>
          <w:tcPr>
            <w:tcW w:w="814"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rPr>
              <w:t>社会公益组织</w:t>
            </w:r>
          </w:p>
        </w:tc>
        <w:tc>
          <w:tcPr>
            <w:tcW w:w="974"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rPr>
              <w:t>法律服务机构</w:t>
            </w:r>
          </w:p>
        </w:tc>
        <w:tc>
          <w:tcPr>
            <w:tcW w:w="712"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rPr>
              <w:t>其他</w:t>
            </w:r>
          </w:p>
        </w:tc>
        <w:tc>
          <w:tcPr>
            <w:tcW w:w="689"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8" w:type="dxa"/>
            <w:gridSpan w:val="3"/>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cs="Times New Roman"/>
                <w:kern w:val="0"/>
                <w:sz w:val="20"/>
                <w:szCs w:val="20"/>
              </w:rPr>
              <w:t>一、本年新收政府信息公开申请数量</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imes New Roman" w:hAnsi="Times New Roman" w:eastAsia="宋体" w:cs="Times New Roman"/>
                <w:lang w:val="en-US" w:eastAsia="zh-CN"/>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imes New Roman" w:hAnsi="Times New Roman" w:eastAsia="宋体" w:cs="Times New Roman"/>
                <w:lang w:val="en-US" w:eastAsia="zh-CN"/>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97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imes New Roman" w:hAnsi="Times New Roman" w:eastAsia="宋体" w:cs="Times New Roman"/>
                <w:lang w:val="en-US" w:eastAsia="zh-CN"/>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12"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imes New Roman" w:hAnsi="Times New Roman" w:eastAsia="宋体" w:cs="Times New Roman"/>
                <w:lang w:val="en-US" w:eastAsia="zh-CN"/>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68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imes New Roman" w:hAnsi="Times New Roman" w:eastAsia="宋体" w:cs="Times New Roman"/>
                <w:lang w:val="en-US" w:eastAsia="zh-CN"/>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8" w:type="dxa"/>
            <w:gridSpan w:val="3"/>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cs="Times New Roman"/>
                <w:kern w:val="0"/>
                <w:sz w:val="20"/>
                <w:szCs w:val="20"/>
              </w:rPr>
              <w:t>二、上年结转政府信息公开申请数量</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imes New Roman" w:hAnsi="Times New Roman" w:eastAsia="宋体" w:cs="Times New Roman"/>
                <w:lang w:val="en-US" w:eastAsia="zh-CN"/>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imes New Roman" w:hAnsi="Times New Roman" w:eastAsia="宋体" w:cs="Times New Roman"/>
                <w:lang w:val="en-US" w:eastAsia="zh-CN"/>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imes New Roman" w:hAnsi="Times New Roman" w:eastAsia="宋体" w:cs="Times New Roman"/>
                <w:lang w:val="en-US" w:eastAsia="zh-CN"/>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imes New Roman" w:hAnsi="Times New Roman" w:eastAsia="宋体" w:cs="Times New Roman"/>
                <w:lang w:val="en-US" w:eastAsia="zh-CN"/>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97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imes New Roman" w:hAnsi="Times New Roman" w:eastAsia="宋体" w:cs="Times New Roman"/>
                <w:lang w:val="en-US" w:eastAsia="zh-CN"/>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12"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rPr>
              <w:t>三、本年度办理结果</w:t>
            </w:r>
          </w:p>
        </w:tc>
        <w:tc>
          <w:tcPr>
            <w:tcW w:w="2940" w:type="dxa"/>
            <w:gridSpan w:val="2"/>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rPr>
              <w:t>（一）予以公开</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97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12"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689"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940" w:type="dxa"/>
            <w:gridSpan w:val="2"/>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rPr>
              <w:t>（二）部分公开（区分处理的，只计这一情形，不计其他情形）</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97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12"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restart"/>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rPr>
              <w:t>（三）不予公开</w:t>
            </w: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rPr>
              <w:t>1.属于国家秘密</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97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12"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689"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rPr>
              <w:t>2.其他法律行政法规禁止公开</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97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12"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rPr>
              <w:t>3.危及“三安全一稳定”</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97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12"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68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rPr>
              <w:t>4.保护第三方合法权益</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97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12"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rPr>
              <w:t>5.属于三类内部事务信息</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97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12"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68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rPr>
              <w:t>6.属于四类过程性信息</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97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12"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rPr>
              <w:t>7.属于行政执法案卷</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97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12"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68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rPr>
              <w:t>8.属于行政查询事项</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97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12"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restart"/>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rPr>
              <w:t>（四）无法提供</w:t>
            </w: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rPr>
              <w:t>1.本机关不掌握相关政府信息</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97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12"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rPr>
              <w:t>2.没有现成信息需要另行制作</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97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12"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rPr>
              <w:t>3.补正后申请内容仍不明确</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97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12"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restart"/>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rPr>
              <w:t>（五）不予处理</w:t>
            </w: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rPr>
              <w:t>1.信访举报投诉类申请</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97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12"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rPr>
              <w:t>2.重复申请</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97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12"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rPr>
              <w:t>3.要求提供公开出版物</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97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12"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rPr>
              <w:t>4.无正当理由大量反复申请</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97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12"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rPr>
              <w:t>5.要求行政机关确认或重新出具已获取信息</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97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12"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940" w:type="dxa"/>
            <w:gridSpan w:val="2"/>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rPr>
              <w:t>（六）其他处理</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97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12"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940" w:type="dxa"/>
            <w:gridSpan w:val="2"/>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rPr>
              <w:t>（七）总计</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97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12"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8" w:type="dxa"/>
            <w:gridSpan w:val="3"/>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cs="Times New Roman"/>
                <w:kern w:val="0"/>
                <w:sz w:val="20"/>
                <w:szCs w:val="20"/>
              </w:rPr>
              <w:t>四、结转下年度继续办理</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81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97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712"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eastAsia="宋体" w:cs="Times New Roman"/>
                <w:kern w:val="2"/>
                <w:sz w:val="21"/>
                <w:szCs w:val="24"/>
                <w:lang w:val="en-US" w:eastAsia="zh-CN" w:bidi="ar-SA"/>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r>
    </w:tbl>
    <w:p>
      <w:pPr>
        <w:pStyle w:val="5"/>
        <w:widowControl/>
        <w:shd w:val="clear" w:color="auto" w:fill="FFFFFF"/>
        <w:spacing w:before="0" w:beforeAutospacing="0" w:after="0" w:afterAutospacing="0"/>
        <w:ind w:firstLine="420"/>
        <w:jc w:val="both"/>
        <w:rPr>
          <w:rFonts w:hint="default" w:ascii="Times New Roman" w:hAnsi="Times New Roman" w:cs="Times New Roman"/>
          <w:color w:val="333333"/>
        </w:rPr>
      </w:pPr>
    </w:p>
    <w:p>
      <w:pPr>
        <w:pStyle w:val="5"/>
        <w:widowControl/>
        <w:shd w:val="clear" w:color="auto" w:fill="FFFFFF"/>
        <w:spacing w:before="0" w:beforeAutospacing="0" w:after="0" w:afterAutospacing="0"/>
        <w:ind w:firstLine="640" w:firstLineChars="200"/>
        <w:jc w:val="both"/>
        <w:rPr>
          <w:rFonts w:hint="default" w:ascii="Times New Roman" w:hAnsi="Times New Roman" w:eastAsia="黑体" w:cs="Times New Roman"/>
          <w:bCs/>
          <w:color w:val="333333"/>
          <w:sz w:val="32"/>
          <w:szCs w:val="32"/>
          <w:shd w:val="clear" w:color="auto" w:fill="FFFFFF"/>
        </w:rPr>
      </w:pPr>
      <w:r>
        <w:rPr>
          <w:rFonts w:hint="default" w:ascii="Times New Roman" w:hAnsi="Times New Roman" w:eastAsia="黑体" w:cs="Times New Roman"/>
          <w:bCs/>
          <w:color w:val="333333"/>
          <w:sz w:val="32"/>
          <w:szCs w:val="32"/>
          <w:shd w:val="clear" w:color="auto" w:fill="FFFFFF"/>
        </w:rPr>
        <w:t>四、政府信息公开行政复议、行政诉讼情况</w:t>
      </w:r>
    </w:p>
    <w:p>
      <w:pPr>
        <w:pStyle w:val="5"/>
        <w:widowControl/>
        <w:shd w:val="clear" w:color="auto" w:fill="FFFFFF"/>
        <w:spacing w:before="0" w:beforeAutospacing="0" w:after="0" w:afterAutospacing="0"/>
        <w:ind w:firstLine="420"/>
        <w:jc w:val="both"/>
        <w:rPr>
          <w:rFonts w:hint="default" w:ascii="Times New Roman" w:hAnsi="Times New Roman" w:cs="Times New Roman"/>
          <w:color w:val="333333"/>
        </w:rPr>
      </w:pP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rPr>
              <w:t>行政复议</w:t>
            </w:r>
          </w:p>
        </w:tc>
        <w:tc>
          <w:tcPr>
            <w:tcW w:w="5997" w:type="dxa"/>
            <w:gridSpan w:val="10"/>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rPr>
              <w:t>结果维持</w:t>
            </w:r>
          </w:p>
        </w:tc>
        <w:tc>
          <w:tcPr>
            <w:tcW w:w="604" w:type="dxa"/>
            <w:vMerge w:val="restart"/>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rPr>
              <w:t>尚未审结</w:t>
            </w:r>
          </w:p>
        </w:tc>
        <w:tc>
          <w:tcPr>
            <w:tcW w:w="658"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rPr>
              <w:t>总计</w:t>
            </w:r>
          </w:p>
        </w:tc>
        <w:tc>
          <w:tcPr>
            <w:tcW w:w="2970" w:type="dxa"/>
            <w:gridSpan w:val="5"/>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604"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604"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604"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658"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550"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rPr>
              <w:t>结果维持</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rPr>
              <w:t>结果纠正</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rPr>
              <w:t>其他结果</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rPr>
              <w:t>尚未审结</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color w:val="000000"/>
                <w:kern w:val="0"/>
                <w:sz w:val="20"/>
                <w:szCs w:val="20"/>
              </w:rPr>
              <w:t>总计</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rPr>
              <w:t>结果维持</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rPr>
              <w:t>结果纠正</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color w:val="000000"/>
                <w:kern w:val="0"/>
                <w:sz w:val="20"/>
                <w:szCs w:val="20"/>
              </w:rPr>
              <w:t>其他结果</w:t>
            </w:r>
          </w:p>
        </w:tc>
        <w:tc>
          <w:tcPr>
            <w:tcW w:w="606"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rPr>
              <w:t>尚未审结</w:t>
            </w:r>
          </w:p>
        </w:tc>
        <w:tc>
          <w:tcPr>
            <w:tcW w:w="606"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color w:val="000000"/>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center"/>
              <w:rPr>
                <w:rFonts w:hint="eastAsia" w:ascii="Times New Roman" w:hAnsi="Times New Roman" w:eastAsia="宋体" w:cs="Times New Roman"/>
                <w:lang w:val="en-US" w:eastAsia="zh-CN"/>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60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imes New Roman" w:hAnsi="Times New Roman" w:eastAsia="宋体" w:cs="Times New Roman"/>
                <w:lang w:val="en-US" w:eastAsia="zh-CN"/>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60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imes New Roman" w:hAnsi="Times New Roman" w:eastAsia="宋体" w:cs="Times New Roman"/>
                <w:lang w:val="en-US" w:eastAsia="zh-CN"/>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60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imes New Roman" w:hAnsi="Times New Roman" w:eastAsia="宋体" w:cs="Times New Roman"/>
                <w:lang w:val="en-US" w:eastAsia="zh-CN"/>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658"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imes New Roman" w:hAnsi="Times New Roman" w:eastAsia="宋体" w:cs="Times New Roman"/>
                <w:lang w:val="en-US" w:eastAsia="zh-CN"/>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550"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imes New Roman" w:hAnsi="Times New Roman" w:eastAsia="宋体" w:cs="Times New Roman"/>
                <w:lang w:val="en-US" w:eastAsia="zh-CN"/>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imes New Roman" w:hAnsi="Times New Roman" w:eastAsia="宋体" w:cs="Times New Roman"/>
                <w:lang w:val="en-US" w:eastAsia="zh-CN"/>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imes New Roman" w:hAnsi="Times New Roman" w:eastAsia="宋体" w:cs="Times New Roman"/>
                <w:lang w:val="en-US" w:eastAsia="zh-CN"/>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imes New Roman" w:hAnsi="Times New Roman" w:eastAsia="宋体" w:cs="Times New Roman"/>
                <w:lang w:val="en-US" w:eastAsia="zh-CN"/>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imes New Roman" w:hAnsi="Times New Roman" w:eastAsia="宋体" w:cs="Times New Roman"/>
                <w:lang w:val="en-US" w:eastAsia="zh-CN"/>
              </w:rPr>
            </w:pPr>
            <w:r>
              <w:rPr>
                <w:rFonts w:hint="default" w:ascii="Times New Roman" w:hAnsi="Times New Roman" w:cs="Times New Roman"/>
                <w:color w:val="000000"/>
                <w:kern w:val="0"/>
                <w:sz w:val="20"/>
                <w:szCs w:val="20"/>
              </w:rPr>
              <w:t> </w:t>
            </w:r>
            <w:r>
              <w:rPr>
                <w:rFonts w:hint="eastAsia" w:cs="Times New Roman"/>
                <w:color w:val="000000"/>
                <w:kern w:val="0"/>
                <w:sz w:val="20"/>
                <w:szCs w:val="20"/>
                <w:lang w:val="en-US" w:eastAsia="zh-C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imes New Roman" w:hAnsi="Times New Roman" w:eastAsia="宋体" w:cs="Times New Roman"/>
                <w:lang w:val="en-US" w:eastAsia="zh-CN"/>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imes New Roman" w:hAnsi="Times New Roman" w:eastAsia="宋体" w:cs="Times New Roman"/>
                <w:lang w:val="en-US" w:eastAsia="zh-CN"/>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imes New Roman" w:hAnsi="Times New Roman" w:eastAsia="宋体" w:cs="Times New Roman"/>
                <w:lang w:val="en-US" w:eastAsia="zh-CN"/>
              </w:rPr>
            </w:pPr>
            <w:r>
              <w:rPr>
                <w:rFonts w:hint="default" w:ascii="Times New Roman" w:hAnsi="Times New Roman" w:cs="Times New Roman"/>
                <w:color w:val="000000"/>
                <w:kern w:val="0"/>
                <w:sz w:val="20"/>
                <w:szCs w:val="20"/>
              </w:rPr>
              <w:t> </w:t>
            </w:r>
            <w:r>
              <w:rPr>
                <w:rFonts w:hint="eastAsia" w:cs="Times New Roman"/>
                <w:color w:val="000000"/>
                <w:kern w:val="0"/>
                <w:sz w:val="20"/>
                <w:szCs w:val="20"/>
                <w:lang w:val="en-US" w:eastAsia="zh-CN"/>
              </w:rPr>
              <w:t>0</w:t>
            </w:r>
          </w:p>
        </w:tc>
        <w:tc>
          <w:tcPr>
            <w:tcW w:w="606"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imes New Roman" w:hAnsi="Times New Roman" w:eastAsia="宋体" w:cs="Times New Roman"/>
                <w:lang w:val="en-US" w:eastAsia="zh-CN"/>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606" w:type="dxa"/>
            <w:tcBorders>
              <w:top w:val="nil"/>
              <w:left w:val="nil"/>
              <w:bottom w:val="single" w:color="auto" w:sz="8" w:space="0"/>
              <w:right w:val="single" w:color="auto" w:sz="8" w:space="0"/>
            </w:tcBorders>
            <w:tcMar>
              <w:left w:w="108" w:type="dxa"/>
              <w:right w:w="108" w:type="dxa"/>
            </w:tcMar>
            <w:vAlign w:val="center"/>
          </w:tcPr>
          <w:p>
            <w:pPr>
              <w:rPr>
                <w:rFonts w:hint="eastAsia" w:ascii="Times New Roman" w:hAnsi="Times New Roman" w:eastAsia="宋体" w:cs="Times New Roman"/>
                <w:sz w:val="24"/>
                <w:lang w:val="en-US" w:eastAsia="zh-CN"/>
              </w:rPr>
            </w:pPr>
            <w:r>
              <w:rPr>
                <w:rFonts w:hint="eastAsia" w:cs="Times New Roman"/>
                <w:sz w:val="24"/>
                <w:lang w:val="en-US" w:eastAsia="zh-CN"/>
              </w:rPr>
              <w:t>0</w:t>
            </w:r>
          </w:p>
        </w:tc>
      </w:tr>
    </w:tbl>
    <w:p>
      <w:pPr>
        <w:widowControl/>
        <w:shd w:val="clear" w:color="auto" w:fill="FFFFFF"/>
        <w:jc w:val="center"/>
        <w:rPr>
          <w:rFonts w:hint="default" w:ascii="Times New Roman" w:hAnsi="Times New Roman" w:cs="Times New Roman"/>
          <w:color w:val="333333"/>
          <w:sz w:val="24"/>
        </w:rPr>
      </w:pPr>
    </w:p>
    <w:p>
      <w:pPr>
        <w:pStyle w:val="5"/>
        <w:widowControl/>
        <w:shd w:val="clear" w:color="auto" w:fill="FFFFFF"/>
        <w:spacing w:before="0" w:beforeAutospacing="0" w:after="0" w:afterAutospacing="0" w:line="576" w:lineRule="exact"/>
        <w:ind w:firstLine="640" w:firstLineChars="200"/>
        <w:jc w:val="both"/>
        <w:rPr>
          <w:rFonts w:hint="default" w:ascii="Times New Roman" w:hAnsi="Times New Roman" w:eastAsia="黑体" w:cs="Times New Roman"/>
          <w:bCs/>
          <w:color w:val="333333"/>
          <w:sz w:val="32"/>
          <w:szCs w:val="32"/>
          <w:shd w:val="clear" w:color="auto" w:fill="FFFFFF"/>
        </w:rPr>
      </w:pPr>
      <w:r>
        <w:rPr>
          <w:rFonts w:hint="default" w:ascii="Times New Roman" w:hAnsi="Times New Roman" w:eastAsia="黑体" w:cs="Times New Roman"/>
          <w:bCs/>
          <w:color w:val="333333"/>
          <w:sz w:val="32"/>
          <w:szCs w:val="32"/>
          <w:shd w:val="clear" w:color="auto" w:fill="FFFFFF"/>
        </w:rPr>
        <w:t>五、存在的主要问题及改进情况</w:t>
      </w:r>
    </w:p>
    <w:p>
      <w:pPr>
        <w:numPr>
          <w:ilvl w:val="0"/>
          <w:numId w:val="0"/>
        </w:numPr>
        <w:spacing w:line="58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下一步</w:t>
      </w:r>
      <w:r>
        <w:rPr>
          <w:rFonts w:hint="eastAsia" w:ascii="仿宋_GB2312" w:eastAsia="仿宋_GB2312"/>
          <w:sz w:val="32"/>
          <w:szCs w:val="32"/>
        </w:rPr>
        <w:t>，科技金融办将继续围绕加快实施创新驱动发展战略和深化科技体制改革中心工作，全面做好政府信息的主动公开和依申请公开工作：一是及时做好重大科技战略思想、科技决策部署、重大科技成果、科技工作进展等有关信息的发布。二是加大科技创新</w:t>
      </w:r>
      <w:r>
        <w:rPr>
          <w:rFonts w:hint="eastAsia" w:ascii="仿宋_GB2312" w:eastAsia="仿宋_GB2312"/>
          <w:sz w:val="32"/>
          <w:szCs w:val="32"/>
          <w:lang w:val="en-US" w:eastAsia="zh-CN"/>
        </w:rPr>
        <w:t>和金融</w:t>
      </w:r>
      <w:r>
        <w:rPr>
          <w:rFonts w:hint="eastAsia" w:ascii="仿宋_GB2312" w:eastAsia="仿宋_GB2312"/>
          <w:sz w:val="32"/>
          <w:szCs w:val="32"/>
        </w:rPr>
        <w:t>政策的宣传解读。三是深入做好科技计划管理和经费信息公开。</w:t>
      </w:r>
    </w:p>
    <w:p>
      <w:pPr>
        <w:pStyle w:val="5"/>
        <w:widowControl/>
        <w:shd w:val="clear" w:color="auto" w:fill="FFFFFF"/>
        <w:spacing w:before="0" w:beforeAutospacing="0" w:after="0" w:afterAutospacing="0" w:line="576" w:lineRule="exact"/>
        <w:ind w:firstLine="640" w:firstLineChars="200"/>
        <w:jc w:val="both"/>
        <w:rPr>
          <w:rFonts w:hint="default" w:ascii="Times New Roman" w:hAnsi="Times New Roman" w:eastAsia="黑体" w:cs="Times New Roman"/>
          <w:bCs/>
          <w:color w:val="333333"/>
          <w:sz w:val="32"/>
          <w:szCs w:val="32"/>
          <w:shd w:val="clear" w:color="auto" w:fill="FFFFFF"/>
        </w:rPr>
      </w:pPr>
      <w:r>
        <w:rPr>
          <w:rFonts w:hint="default" w:ascii="Times New Roman" w:hAnsi="Times New Roman" w:eastAsia="黑体" w:cs="Times New Roman"/>
          <w:bCs/>
          <w:color w:val="333333"/>
          <w:sz w:val="32"/>
          <w:szCs w:val="32"/>
          <w:shd w:val="clear" w:color="auto" w:fill="FFFFFF"/>
        </w:rPr>
        <w:t>六、其他需要报告的事项</w:t>
      </w:r>
    </w:p>
    <w:p>
      <w:pPr>
        <w:pStyle w:val="5"/>
        <w:widowControl/>
        <w:shd w:val="clear" w:color="auto" w:fill="FFFFFF"/>
        <w:spacing w:before="0" w:beforeAutospacing="0" w:after="0" w:afterAutospacing="0" w:line="576" w:lineRule="exact"/>
        <w:ind w:firstLine="420"/>
        <w:jc w:val="both"/>
        <w:rPr>
          <w:rFonts w:hint="eastAsia" w:ascii="Times New Roman" w:hAnsi="Times New Roman" w:eastAsia="仿宋" w:cs="Times New Roman"/>
          <w:sz w:val="32"/>
          <w:lang w:eastAsia="zh-CN"/>
        </w:rPr>
      </w:pPr>
      <w:r>
        <w:rPr>
          <w:rFonts w:hint="eastAsia" w:eastAsia="仿宋_GB2312" w:cs="Times New Roman"/>
          <w:color w:val="333333"/>
          <w:sz w:val="32"/>
          <w:szCs w:val="32"/>
          <w:shd w:val="clear" w:color="auto" w:fill="FFFFFF"/>
          <w:lang w:eastAsia="zh-CN"/>
        </w:rPr>
        <w:t>无</w:t>
      </w:r>
    </w:p>
    <w:sectPr>
      <w:pgSz w:w="11906" w:h="16838"/>
      <w:pgMar w:top="1701" w:right="1417" w:bottom="1417" w:left="1417" w:header="851" w:footer="992" w:gutter="0"/>
      <w:cols w:space="0" w:num="1"/>
      <w:docGrid w:type="linesAndChars" w:linePitch="319" w:charSpace="2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105"/>
  <w:drawingGridVerticalSpacing w:val="15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C40"/>
    <w:rsid w:val="00001793"/>
    <w:rsid w:val="000477CF"/>
    <w:rsid w:val="000765DB"/>
    <w:rsid w:val="00150BA1"/>
    <w:rsid w:val="00155C40"/>
    <w:rsid w:val="00202F7C"/>
    <w:rsid w:val="00347C41"/>
    <w:rsid w:val="003538F0"/>
    <w:rsid w:val="00381339"/>
    <w:rsid w:val="004347C7"/>
    <w:rsid w:val="00481C78"/>
    <w:rsid w:val="004B5835"/>
    <w:rsid w:val="00606070"/>
    <w:rsid w:val="00665783"/>
    <w:rsid w:val="006F0CBB"/>
    <w:rsid w:val="007449E9"/>
    <w:rsid w:val="007A7207"/>
    <w:rsid w:val="007D4972"/>
    <w:rsid w:val="00822A0D"/>
    <w:rsid w:val="008A18E3"/>
    <w:rsid w:val="009D711B"/>
    <w:rsid w:val="00AA7157"/>
    <w:rsid w:val="00AE437F"/>
    <w:rsid w:val="00B1167A"/>
    <w:rsid w:val="00B540FD"/>
    <w:rsid w:val="00BF46F4"/>
    <w:rsid w:val="00C24C2A"/>
    <w:rsid w:val="00C71360"/>
    <w:rsid w:val="00D156DE"/>
    <w:rsid w:val="00D619EF"/>
    <w:rsid w:val="00E259FB"/>
    <w:rsid w:val="00F426A3"/>
    <w:rsid w:val="03EB2175"/>
    <w:rsid w:val="054B3B26"/>
    <w:rsid w:val="064B3E1A"/>
    <w:rsid w:val="079D3857"/>
    <w:rsid w:val="0AAE1DF5"/>
    <w:rsid w:val="0D705CDA"/>
    <w:rsid w:val="110A5E0B"/>
    <w:rsid w:val="13171DE2"/>
    <w:rsid w:val="18A22A0C"/>
    <w:rsid w:val="19882074"/>
    <w:rsid w:val="20430346"/>
    <w:rsid w:val="27DC648D"/>
    <w:rsid w:val="28B04605"/>
    <w:rsid w:val="2992645E"/>
    <w:rsid w:val="2B5555A0"/>
    <w:rsid w:val="2FFF0B17"/>
    <w:rsid w:val="35DD35AC"/>
    <w:rsid w:val="35F42A8B"/>
    <w:rsid w:val="396800DF"/>
    <w:rsid w:val="3D8A046F"/>
    <w:rsid w:val="40AE7618"/>
    <w:rsid w:val="43FC7133"/>
    <w:rsid w:val="4693096A"/>
    <w:rsid w:val="486B5B2B"/>
    <w:rsid w:val="4B1E1EF5"/>
    <w:rsid w:val="515953F2"/>
    <w:rsid w:val="65B92057"/>
    <w:rsid w:val="68AA085E"/>
    <w:rsid w:val="6EA6689E"/>
    <w:rsid w:val="71C778D8"/>
    <w:rsid w:val="72157ED4"/>
    <w:rsid w:val="76135E66"/>
    <w:rsid w:val="7AA246AE"/>
    <w:rsid w:val="7AFE3386"/>
    <w:rsid w:val="7F8F3831"/>
    <w:rsid w:val="7FB636DD"/>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qFormat/>
    <w:uiPriority w:val="99"/>
    <w:pPr>
      <w:ind w:left="100" w:leftChars="2500"/>
    </w:p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kern w:val="0"/>
      <w:sz w:val="24"/>
    </w:rPr>
  </w:style>
  <w:style w:type="table" w:styleId="7">
    <w:name w:val="Table Grid"/>
    <w:basedOn w:val="6"/>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日期 Char"/>
    <w:basedOn w:val="8"/>
    <w:link w:val="2"/>
    <w:qFormat/>
    <w:locked/>
    <w:uiPriority w:val="99"/>
    <w:rPr>
      <w:kern w:val="2"/>
      <w:sz w:val="24"/>
    </w:rPr>
  </w:style>
  <w:style w:type="character" w:customStyle="1" w:styleId="10">
    <w:name w:val="页脚 Char"/>
    <w:basedOn w:val="8"/>
    <w:link w:val="3"/>
    <w:qFormat/>
    <w:locked/>
    <w:uiPriority w:val="99"/>
    <w:rPr>
      <w:kern w:val="2"/>
      <w:sz w:val="18"/>
    </w:rPr>
  </w:style>
  <w:style w:type="character" w:customStyle="1" w:styleId="11">
    <w:name w:val="页眉 Char"/>
    <w:basedOn w:val="8"/>
    <w:link w:val="4"/>
    <w:qFormat/>
    <w:locked/>
    <w:uiPriority w:val="99"/>
    <w:rPr>
      <w:kern w:val="2"/>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信念技术论坛</Company>
  <Pages>4</Pages>
  <Words>1019</Words>
  <Characters>671</Characters>
  <Lines>5</Lines>
  <Paragraphs>3</Paragraphs>
  <TotalTime>8</TotalTime>
  <ScaleCrop>false</ScaleCrop>
  <LinksUpToDate>false</LinksUpToDate>
  <CharactersWithSpaces>1687</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2017-09-11T14:30:00Z</dcterms:created>
  <dc:creator>微软用户</dc:creator>
  <cp:lastModifiedBy>thtf</cp:lastModifiedBy>
  <cp:lastPrinted>2020-01-09T17:09:00Z</cp:lastPrinted>
  <dcterms:modified xsi:type="dcterms:W3CDTF">2025-02-12T09:30:38Z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ies>
</file>