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shd w:val="clear" w:color="auto" w:fill="FFFFFF"/>
        <w:spacing w:before="0" w:beforeAutospacing="0" w:after="0" w:afterAutospacing="0" w:line="576" w:lineRule="exact"/>
        <w:jc w:val="center"/>
        <w:rPr>
          <w:rFonts w:hint="eastAsia" w:ascii="Times New Roman" w:hAnsi="Times New Roman" w:eastAsia="方正小标宋简体" w:cs="Times New Roman"/>
          <w:b/>
          <w:color w:val="333333"/>
          <w:sz w:val="44"/>
          <w:szCs w:val="44"/>
          <w:shd w:val="clear" w:color="auto" w:fill="FFFFFF"/>
          <w:lang w:eastAsia="zh-CN"/>
        </w:rPr>
      </w:pPr>
      <w:bookmarkStart w:id="0" w:name="_GoBack"/>
      <w:bookmarkEnd w:id="0"/>
      <w:r>
        <w:rPr>
          <w:rFonts w:hint="eastAsia" w:eastAsia="方正小标宋简体" w:cs="Times New Roman"/>
          <w:b/>
          <w:color w:val="333333"/>
          <w:sz w:val="44"/>
          <w:szCs w:val="44"/>
          <w:shd w:val="clear" w:color="auto" w:fill="FFFFFF"/>
          <w:lang w:eastAsia="zh-CN"/>
        </w:rPr>
        <w:t>威海临港区科技金融办公室</w:t>
      </w:r>
    </w:p>
    <w:p>
      <w:pPr>
        <w:pStyle w:val="5"/>
        <w:widowControl/>
        <w:shd w:val="clear" w:color="auto" w:fill="FFFFFF"/>
        <w:spacing w:before="0" w:beforeAutospacing="0" w:after="0" w:afterAutospacing="0" w:line="576" w:lineRule="exact"/>
        <w:jc w:val="center"/>
        <w:rPr>
          <w:rFonts w:hint="default" w:ascii="Times New Roman" w:hAnsi="Times New Roman" w:eastAsia="方正小标宋简体" w:cs="Times New Roman"/>
          <w:b/>
          <w:color w:val="333333"/>
          <w:sz w:val="44"/>
          <w:szCs w:val="44"/>
          <w:shd w:val="clear" w:color="auto" w:fill="FFFFFF"/>
        </w:rPr>
      </w:pPr>
      <w:r>
        <w:rPr>
          <w:rFonts w:hint="default" w:ascii="Times New Roman" w:hAnsi="Times New Roman" w:eastAsia="方正小标宋简体" w:cs="Times New Roman"/>
          <w:b/>
          <w:color w:val="333333"/>
          <w:sz w:val="44"/>
          <w:szCs w:val="44"/>
          <w:shd w:val="clear" w:color="auto" w:fill="FFFFFF"/>
        </w:rPr>
        <w:t>政府信息公开工作年度报告</w:t>
      </w:r>
    </w:p>
    <w:p>
      <w:pPr>
        <w:pStyle w:val="5"/>
        <w:widowControl/>
        <w:shd w:val="clear" w:color="auto" w:fill="FFFFFF"/>
        <w:spacing w:before="0" w:beforeAutospacing="0" w:after="0" w:afterAutospacing="0" w:line="576" w:lineRule="exact"/>
        <w:jc w:val="center"/>
        <w:rPr>
          <w:rFonts w:hint="default" w:ascii="Times New Roman" w:hAnsi="Times New Roman" w:eastAsia="方正小标宋简体" w:cs="Times New Roman"/>
          <w:b/>
          <w:color w:val="333333"/>
          <w:sz w:val="44"/>
          <w:szCs w:val="44"/>
          <w:shd w:val="clear" w:color="auto" w:fill="FFFFFF"/>
        </w:rPr>
      </w:pPr>
    </w:p>
    <w:p>
      <w:pPr>
        <w:pStyle w:val="5"/>
        <w:widowControl/>
        <w:shd w:val="clear" w:color="auto" w:fill="FFFFFF"/>
        <w:spacing w:before="0" w:beforeAutospacing="0" w:after="0" w:afterAutospacing="0" w:line="576" w:lineRule="exact"/>
        <w:ind w:firstLine="640" w:firstLineChars="200"/>
        <w:jc w:val="both"/>
        <w:rPr>
          <w:rFonts w:hint="default" w:ascii="Times New Roman" w:hAnsi="Times New Roman" w:eastAsia="黑体" w:cs="Times New Roman"/>
          <w:bCs/>
          <w:color w:val="333333"/>
          <w:sz w:val="32"/>
          <w:szCs w:val="32"/>
        </w:rPr>
      </w:pPr>
      <w:r>
        <w:rPr>
          <w:rFonts w:hint="default" w:ascii="Times New Roman" w:hAnsi="Times New Roman" w:eastAsia="黑体" w:cs="Times New Roman"/>
          <w:bCs/>
          <w:color w:val="333333"/>
          <w:sz w:val="32"/>
          <w:szCs w:val="32"/>
          <w:shd w:val="clear" w:color="auto" w:fill="FFFFFF"/>
        </w:rPr>
        <w:t>一、总体情况</w:t>
      </w:r>
    </w:p>
    <w:p>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240" w:afterAutospacing="0" w:line="580" w:lineRule="exact"/>
        <w:ind w:firstLine="640" w:firstLineChars="200"/>
        <w:jc w:val="both"/>
        <w:textAlignment w:val="auto"/>
        <w:rPr>
          <w:rFonts w:hint="eastAsia" w:ascii="仿宋_GB2312" w:hAnsi="宋体" w:eastAsia="仿宋_GB2312" w:cs="宋体"/>
          <w:color w:val="333333"/>
          <w:kern w:val="0"/>
          <w:sz w:val="32"/>
          <w:szCs w:val="32"/>
        </w:rPr>
      </w:pPr>
      <w:r>
        <w:rPr>
          <w:rFonts w:hint="eastAsia" w:ascii="仿宋_GB2312" w:hAnsi="宋体" w:eastAsia="仿宋_GB2312" w:cs="宋体"/>
          <w:color w:val="333333"/>
          <w:kern w:val="0"/>
          <w:sz w:val="32"/>
          <w:szCs w:val="32"/>
        </w:rPr>
        <w:t>201</w:t>
      </w:r>
      <w:r>
        <w:rPr>
          <w:rFonts w:hint="eastAsia" w:ascii="仿宋_GB2312" w:hAnsi="宋体" w:eastAsia="仿宋_GB2312" w:cs="宋体"/>
          <w:color w:val="333333"/>
          <w:kern w:val="0"/>
          <w:sz w:val="32"/>
          <w:szCs w:val="32"/>
          <w:lang w:val="en-US" w:eastAsia="zh-CN"/>
        </w:rPr>
        <w:t>9</w:t>
      </w:r>
      <w:r>
        <w:rPr>
          <w:rFonts w:hint="eastAsia" w:ascii="仿宋_GB2312" w:hAnsi="宋体" w:eastAsia="仿宋_GB2312" w:cs="宋体"/>
          <w:color w:val="333333"/>
          <w:kern w:val="0"/>
          <w:sz w:val="32"/>
          <w:szCs w:val="32"/>
        </w:rPr>
        <w:t>年</w:t>
      </w:r>
      <w:r>
        <w:rPr>
          <w:rFonts w:hint="eastAsia" w:ascii="仿宋_GB2312" w:hAnsi="宋体" w:eastAsia="仿宋_GB2312" w:cs="宋体"/>
          <w:color w:val="333333"/>
          <w:kern w:val="0"/>
          <w:sz w:val="32"/>
          <w:szCs w:val="32"/>
          <w:lang w:eastAsia="zh-CN"/>
        </w:rPr>
        <w:t>以来</w:t>
      </w:r>
      <w:r>
        <w:rPr>
          <w:rFonts w:hint="eastAsia" w:ascii="仿宋_GB2312" w:hAnsi="宋体" w:eastAsia="仿宋_GB2312" w:cs="宋体"/>
          <w:color w:val="333333"/>
          <w:kern w:val="0"/>
          <w:sz w:val="32"/>
          <w:szCs w:val="32"/>
        </w:rPr>
        <w:t>区科技金融办认真贯彻落实《中华人民共和国政府信息公开条例》，全面推进政府信息公开工作，进一步增加工作透明度，切实加强服务型机关建设。</w:t>
      </w:r>
      <w:r>
        <w:rPr>
          <w:rFonts w:hint="eastAsia" w:ascii="仿宋_GB2312" w:hAnsi="宋体" w:eastAsia="仿宋_GB2312" w:cs="宋体"/>
          <w:color w:val="333333"/>
          <w:kern w:val="0"/>
          <w:sz w:val="32"/>
          <w:szCs w:val="32"/>
          <w:lang w:eastAsia="zh-CN"/>
        </w:rPr>
        <w:t>现将</w:t>
      </w:r>
      <w:r>
        <w:rPr>
          <w:rFonts w:hint="eastAsia" w:ascii="仿宋_GB2312" w:hAnsi="宋体" w:eastAsia="仿宋_GB2312" w:cs="宋体"/>
          <w:color w:val="333333"/>
          <w:kern w:val="0"/>
          <w:sz w:val="32"/>
          <w:szCs w:val="32"/>
        </w:rPr>
        <w:t>有关情况报告如下：</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（1）高度重视通过新媒体推进信息公开。第一时间发布科技动态资讯、深入解读科技</w:t>
      </w:r>
      <w:r>
        <w:rPr>
          <w:rFonts w:hint="eastAsia" w:ascii="仿宋_GB2312" w:eastAsia="仿宋_GB2312"/>
          <w:sz w:val="32"/>
          <w:szCs w:val="32"/>
          <w:lang w:eastAsia="zh-CN"/>
        </w:rPr>
        <w:t>金融</w:t>
      </w:r>
      <w:r>
        <w:rPr>
          <w:rFonts w:hint="eastAsia" w:ascii="仿宋_GB2312" w:eastAsia="仿宋_GB2312"/>
          <w:sz w:val="32"/>
          <w:szCs w:val="32"/>
        </w:rPr>
        <w:t>政策、积极回应社会关切。</w:t>
      </w:r>
      <w:r>
        <w:rPr>
          <w:rFonts w:hint="eastAsia" w:ascii="仿宋_GB2312" w:eastAsia="仿宋_GB2312"/>
          <w:sz w:val="32"/>
          <w:szCs w:val="32"/>
          <w:lang w:eastAsia="zh-CN"/>
        </w:rPr>
        <w:t>相继公开打击非法集资、“</w:t>
      </w:r>
      <w:r>
        <w:rPr>
          <w:rFonts w:hint="eastAsia" w:ascii="仿宋_GB2312" w:eastAsia="仿宋_GB2312"/>
          <w:sz w:val="32"/>
          <w:szCs w:val="32"/>
          <w:lang w:val="en-US" w:eastAsia="zh-CN"/>
        </w:rPr>
        <w:t>e租宝</w:t>
      </w:r>
      <w:r>
        <w:rPr>
          <w:rFonts w:hint="eastAsia" w:ascii="仿宋_GB2312" w:eastAsia="仿宋_GB2312"/>
          <w:sz w:val="32"/>
          <w:szCs w:val="32"/>
          <w:lang w:eastAsia="zh-CN"/>
        </w:rPr>
        <w:t>”案件通告、应急转贷专项资金管理办法、科技计划项目申报相关信息、农业科技园申报相关信息等。</w:t>
      </w:r>
      <w:r>
        <w:rPr>
          <w:rFonts w:hint="eastAsia" w:ascii="仿宋_GB2312" w:eastAsia="仿宋_GB2312"/>
          <w:sz w:val="32"/>
          <w:szCs w:val="32"/>
        </w:rPr>
        <w:br w:type="textWrapping"/>
      </w:r>
      <w:r>
        <w:rPr>
          <w:rFonts w:hint="eastAsia" w:ascii="仿宋_GB2312" w:eastAsia="仿宋_GB2312"/>
          <w:sz w:val="32"/>
          <w:szCs w:val="32"/>
        </w:rPr>
        <w:t>      （2）按要求做好财政预决算信息公开。科技金融办201</w:t>
      </w:r>
      <w:r>
        <w:rPr>
          <w:rFonts w:hint="eastAsia" w:ascii="仿宋_GB2312" w:eastAsia="仿宋_GB2312"/>
          <w:sz w:val="32"/>
          <w:szCs w:val="32"/>
          <w:lang w:val="en-US" w:eastAsia="zh-CN"/>
        </w:rPr>
        <w:t>8</w:t>
      </w:r>
      <w:r>
        <w:rPr>
          <w:rFonts w:hint="eastAsia" w:ascii="仿宋_GB2312" w:eastAsia="仿宋_GB2312"/>
          <w:sz w:val="32"/>
          <w:szCs w:val="32"/>
        </w:rPr>
        <w:t>年度决算</w:t>
      </w:r>
      <w:r>
        <w:rPr>
          <w:rFonts w:hint="eastAsia" w:ascii="仿宋_GB2312" w:eastAsia="仿宋_GB2312"/>
          <w:sz w:val="32"/>
          <w:szCs w:val="32"/>
          <w:lang w:eastAsia="zh-CN"/>
        </w:rPr>
        <w:t>和</w:t>
      </w:r>
      <w:r>
        <w:rPr>
          <w:rFonts w:hint="eastAsia" w:ascii="仿宋_GB2312" w:eastAsia="仿宋_GB2312"/>
          <w:sz w:val="32"/>
          <w:szCs w:val="32"/>
          <w:lang w:val="en-US" w:eastAsia="zh-CN"/>
        </w:rPr>
        <w:t>2019年预算</w:t>
      </w:r>
      <w:r>
        <w:rPr>
          <w:rFonts w:hint="eastAsia" w:ascii="仿宋_GB2312" w:eastAsia="仿宋_GB2312"/>
          <w:sz w:val="32"/>
          <w:szCs w:val="32"/>
        </w:rPr>
        <w:t>情况按时在门户网站公布，相关科目明细、</w:t>
      </w:r>
      <w:r>
        <w:rPr>
          <w:rFonts w:hint="eastAsia" w:ascii="仿宋_GB2312" w:eastAsia="仿宋_GB2312"/>
          <w:sz w:val="32"/>
          <w:szCs w:val="32"/>
          <w:lang w:eastAsia="zh-CN"/>
        </w:rPr>
        <w:t>“三公”经费</w:t>
      </w:r>
      <w:r>
        <w:rPr>
          <w:rFonts w:hint="eastAsia" w:ascii="仿宋_GB2312" w:eastAsia="仿宋_GB2312"/>
          <w:sz w:val="32"/>
          <w:szCs w:val="32"/>
        </w:rPr>
        <w:t>具体数值及数据变化原因均按要求予以说明。</w:t>
      </w:r>
    </w:p>
    <w:p>
      <w:pPr>
        <w:pStyle w:val="5"/>
        <w:widowControl/>
        <w:shd w:val="clear" w:color="auto" w:fill="FFFFFF"/>
        <w:spacing w:before="0" w:beforeAutospacing="0" w:after="240" w:afterAutospacing="0" w:line="576" w:lineRule="exact"/>
        <w:ind w:firstLine="640" w:firstLineChars="200"/>
        <w:jc w:val="both"/>
        <w:rPr>
          <w:rFonts w:hint="default" w:ascii="Times New Roman" w:hAnsi="Times New Roman" w:eastAsia="黑体" w:cs="Times New Roman"/>
          <w:bCs/>
          <w:color w:val="333333"/>
          <w:sz w:val="32"/>
          <w:szCs w:val="32"/>
          <w:shd w:val="clear" w:color="auto" w:fill="FFFFFF"/>
        </w:rPr>
      </w:pPr>
      <w:r>
        <w:rPr>
          <w:rFonts w:hint="default" w:ascii="Times New Roman" w:hAnsi="Times New Roman" w:eastAsia="黑体" w:cs="Times New Roman"/>
          <w:bCs/>
          <w:color w:val="333333"/>
          <w:sz w:val="32"/>
          <w:szCs w:val="32"/>
          <w:shd w:val="clear" w:color="auto" w:fill="FFFFFF"/>
        </w:rPr>
        <w:t>二、主动公开政府信息情况</w:t>
      </w:r>
    </w:p>
    <w:tbl>
      <w:tblPr>
        <w:tblStyle w:val="6"/>
        <w:tblW w:w="8140" w:type="dxa"/>
        <w:jc w:val="center"/>
        <w:tblLayout w:type="fixed"/>
        <w:tblCellMar>
          <w:top w:w="0" w:type="dxa"/>
          <w:left w:w="0" w:type="dxa"/>
          <w:bottom w:w="0" w:type="dxa"/>
          <w:right w:w="0" w:type="dxa"/>
        </w:tblCellMar>
      </w:tblPr>
      <w:tblGrid>
        <w:gridCol w:w="3113"/>
        <w:gridCol w:w="1869"/>
        <w:gridCol w:w="1277"/>
        <w:gridCol w:w="1881"/>
      </w:tblGrid>
      <w:tr>
        <w:tblPrEx>
          <w:tblCellMar>
            <w:top w:w="0" w:type="dxa"/>
            <w:left w:w="0" w:type="dxa"/>
            <w:bottom w:w="0" w:type="dxa"/>
            <w:right w:w="0"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C6D9F1"/>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信息内容</w:t>
            </w:r>
          </w:p>
        </w:tc>
        <w:tc>
          <w:tcPr>
            <w:tcW w:w="1869"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本年新</w:t>
            </w:r>
            <w:r>
              <w:rPr>
                <w:rFonts w:hint="default" w:ascii="Times New Roman" w:hAnsi="Times New Roman" w:cs="Times New Roman"/>
                <w:color w:val="000000"/>
                <w:kern w:val="0"/>
                <w:sz w:val="20"/>
                <w:szCs w:val="20"/>
              </w:rPr>
              <w:br w:type="textWrapping"/>
            </w:r>
            <w:r>
              <w:rPr>
                <w:rFonts w:hint="default" w:ascii="Times New Roman" w:hAnsi="Times New Roman" w:cs="Times New Roman"/>
                <w:kern w:val="0"/>
                <w:sz w:val="20"/>
                <w:szCs w:val="20"/>
              </w:rPr>
              <w:t>制作数量</w:t>
            </w:r>
          </w:p>
        </w:tc>
        <w:tc>
          <w:tcPr>
            <w:tcW w:w="1277"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本年新</w:t>
            </w:r>
            <w:r>
              <w:rPr>
                <w:rFonts w:hint="default" w:ascii="Times New Roman" w:hAnsi="Times New Roman" w:cs="Times New Roman"/>
                <w:color w:val="000000"/>
                <w:kern w:val="0"/>
                <w:sz w:val="20"/>
                <w:szCs w:val="20"/>
              </w:rPr>
              <w:br w:type="textWrapping"/>
            </w:r>
            <w:r>
              <w:rPr>
                <w:rFonts w:hint="default" w:ascii="Times New Roman" w:hAnsi="Times New Roman" w:cs="Times New Roman"/>
                <w:kern w:val="0"/>
                <w:sz w:val="20"/>
                <w:szCs w:val="20"/>
              </w:rPr>
              <w:t>公开数量</w:t>
            </w:r>
          </w:p>
        </w:tc>
        <w:tc>
          <w:tcPr>
            <w:tcW w:w="1881"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对外公开总数量</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color w:val="000000"/>
                <w:kern w:val="0"/>
                <w:sz w:val="20"/>
                <w:szCs w:val="20"/>
              </w:rPr>
              <w:t>规章</w:t>
            </w:r>
          </w:p>
        </w:tc>
        <w:tc>
          <w:tcPr>
            <w:tcW w:w="1869"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277"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color w:val="000000"/>
                <w:kern w:val="0"/>
                <w:sz w:val="20"/>
                <w:szCs w:val="20"/>
              </w:rPr>
              <w:t>规范性文件</w:t>
            </w:r>
          </w:p>
        </w:tc>
        <w:tc>
          <w:tcPr>
            <w:tcW w:w="1869"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277"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80"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信息内容</w:t>
            </w:r>
          </w:p>
        </w:tc>
        <w:tc>
          <w:tcPr>
            <w:tcW w:w="1869"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上一年项目数量</w:t>
            </w:r>
          </w:p>
        </w:tc>
        <w:tc>
          <w:tcPr>
            <w:tcW w:w="1277"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本年增/减</w:t>
            </w:r>
          </w:p>
        </w:tc>
        <w:tc>
          <w:tcPr>
            <w:tcW w:w="1881"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color w:val="000000"/>
                <w:kern w:val="0"/>
                <w:sz w:val="20"/>
                <w:szCs w:val="20"/>
              </w:rPr>
              <w:t>行政许可</w:t>
            </w:r>
          </w:p>
        </w:tc>
        <w:tc>
          <w:tcPr>
            <w:tcW w:w="1869"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277"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color w:val="000000"/>
                <w:kern w:val="0"/>
                <w:sz w:val="20"/>
                <w:szCs w:val="20"/>
              </w:rPr>
              <w:t>其他对外管理服务事项</w:t>
            </w:r>
          </w:p>
        </w:tc>
        <w:tc>
          <w:tcPr>
            <w:tcW w:w="1869"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277"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06"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信息内容</w:t>
            </w:r>
          </w:p>
        </w:tc>
        <w:tc>
          <w:tcPr>
            <w:tcW w:w="1869"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上一年项目数量</w:t>
            </w:r>
          </w:p>
        </w:tc>
        <w:tc>
          <w:tcPr>
            <w:tcW w:w="1277"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本年增/减</w:t>
            </w:r>
          </w:p>
        </w:tc>
        <w:tc>
          <w:tcPr>
            <w:tcW w:w="1881"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处理决定数量</w:t>
            </w:r>
          </w:p>
        </w:tc>
      </w:tr>
      <w:tr>
        <w:tblPrEx>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color w:val="000000"/>
                <w:kern w:val="0"/>
                <w:sz w:val="20"/>
                <w:szCs w:val="20"/>
              </w:rPr>
              <w:t>行政处罚</w:t>
            </w:r>
          </w:p>
        </w:tc>
        <w:tc>
          <w:tcPr>
            <w:tcW w:w="1869"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277"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color w:val="000000"/>
                <w:kern w:val="0"/>
                <w:sz w:val="20"/>
                <w:szCs w:val="20"/>
              </w:rPr>
              <w:t>行政强制</w:t>
            </w:r>
          </w:p>
        </w:tc>
        <w:tc>
          <w:tcPr>
            <w:tcW w:w="1869"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277"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74"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信息内容</w:t>
            </w:r>
          </w:p>
        </w:tc>
        <w:tc>
          <w:tcPr>
            <w:tcW w:w="1869"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color w:val="000000"/>
                <w:kern w:val="0"/>
                <w:sz w:val="20"/>
                <w:szCs w:val="20"/>
              </w:rPr>
              <w:t>上一年项目数量</w:t>
            </w:r>
          </w:p>
        </w:tc>
        <w:tc>
          <w:tcPr>
            <w:tcW w:w="3158" w:type="dxa"/>
            <w:gridSpan w:val="2"/>
            <w:tcBorders>
              <w:top w:val="single" w:color="auto" w:sz="8" w:space="0"/>
              <w:left w:val="nil"/>
              <w:bottom w:val="single" w:color="auto" w:sz="8" w:space="0"/>
              <w:right w:val="single" w:color="000000"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本年增/减</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color w:val="000000"/>
                <w:kern w:val="0"/>
                <w:sz w:val="20"/>
                <w:szCs w:val="20"/>
              </w:rPr>
              <w:t>行政事业性收费</w:t>
            </w:r>
          </w:p>
        </w:tc>
        <w:tc>
          <w:tcPr>
            <w:tcW w:w="1869"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3158" w:type="dxa"/>
            <w:gridSpan w:val="2"/>
            <w:tcBorders>
              <w:top w:val="nil"/>
              <w:left w:val="nil"/>
              <w:bottom w:val="single" w:color="auto" w:sz="8" w:space="0"/>
              <w:right w:val="single" w:color="000000"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76"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第二十条第（九）项</w:t>
            </w:r>
          </w:p>
        </w:tc>
      </w:tr>
      <w:tr>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信息内容</w:t>
            </w:r>
          </w:p>
        </w:tc>
        <w:tc>
          <w:tcPr>
            <w:tcW w:w="186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采购项目数量</w:t>
            </w:r>
          </w:p>
        </w:tc>
        <w:tc>
          <w:tcPr>
            <w:tcW w:w="3158" w:type="dxa"/>
            <w:gridSpan w:val="2"/>
            <w:tcBorders>
              <w:top w:val="single" w:color="auto" w:sz="8" w:space="0"/>
              <w:left w:val="nil"/>
              <w:bottom w:val="single" w:color="auto" w:sz="8" w:space="0"/>
              <w:right w:val="single" w:color="000000"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采购总金额</w:t>
            </w:r>
          </w:p>
        </w:tc>
      </w:tr>
      <w:tr>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color w:val="000000"/>
                <w:kern w:val="0"/>
                <w:sz w:val="20"/>
                <w:szCs w:val="20"/>
              </w:rPr>
              <w:t>政府集中采购</w:t>
            </w:r>
          </w:p>
        </w:tc>
        <w:tc>
          <w:tcPr>
            <w:tcW w:w="1869"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3158" w:type="dxa"/>
            <w:gridSpan w:val="2"/>
            <w:tcBorders>
              <w:top w:val="nil"/>
              <w:left w:val="nil"/>
              <w:bottom w:val="single" w:color="auto" w:sz="8" w:space="0"/>
              <w:right w:val="single" w:color="000000" w:sz="8" w:space="0"/>
            </w:tcBorders>
            <w:tcMar>
              <w:left w:w="108" w:type="dxa"/>
              <w:right w:w="108" w:type="dxa"/>
            </w:tcMar>
            <w:vAlign w:val="center"/>
          </w:tcPr>
          <w:p>
            <w:pPr>
              <w:rPr>
                <w:rFonts w:hint="eastAsia" w:ascii="Times New Roman" w:hAnsi="Times New Roman" w:eastAsia="宋体" w:cs="Times New Roman"/>
                <w:sz w:val="24"/>
                <w:lang w:val="en-US" w:eastAsia="zh-CN"/>
              </w:rPr>
            </w:pPr>
            <w:r>
              <w:rPr>
                <w:rFonts w:hint="eastAsia" w:cs="Times New Roman"/>
                <w:sz w:val="24"/>
                <w:lang w:val="en-US" w:eastAsia="zh-CN"/>
              </w:rPr>
              <w:t>0</w:t>
            </w:r>
          </w:p>
        </w:tc>
      </w:tr>
    </w:tbl>
    <w:p>
      <w:pPr>
        <w:pStyle w:val="5"/>
        <w:widowControl/>
        <w:shd w:val="clear" w:color="auto" w:fill="FFFFFF"/>
        <w:spacing w:before="0" w:beforeAutospacing="0" w:after="0" w:afterAutospacing="0"/>
        <w:ind w:firstLine="420"/>
        <w:jc w:val="both"/>
        <w:rPr>
          <w:rFonts w:hint="default" w:ascii="Times New Roman" w:hAnsi="Times New Roman" w:cs="Times New Roman"/>
          <w:color w:val="333333"/>
        </w:rPr>
      </w:pPr>
    </w:p>
    <w:p>
      <w:pPr>
        <w:pStyle w:val="5"/>
        <w:widowControl/>
        <w:shd w:val="clear" w:color="auto" w:fill="FFFFFF"/>
        <w:spacing w:before="0" w:beforeAutospacing="0" w:after="0" w:afterAutospacing="0"/>
        <w:ind w:firstLine="640" w:firstLineChars="200"/>
        <w:jc w:val="both"/>
        <w:rPr>
          <w:rFonts w:hint="default" w:ascii="Times New Roman" w:hAnsi="Times New Roman" w:eastAsia="黑体" w:cs="Times New Roman"/>
          <w:bCs/>
          <w:color w:val="333333"/>
          <w:sz w:val="32"/>
          <w:szCs w:val="32"/>
          <w:shd w:val="clear" w:color="auto" w:fill="FFFFFF"/>
        </w:rPr>
      </w:pPr>
      <w:r>
        <w:rPr>
          <w:rFonts w:hint="default" w:ascii="Times New Roman" w:hAnsi="Times New Roman" w:eastAsia="黑体" w:cs="Times New Roman"/>
          <w:bCs/>
          <w:color w:val="333333"/>
          <w:sz w:val="32"/>
          <w:szCs w:val="32"/>
          <w:shd w:val="clear" w:color="auto" w:fill="FFFFFF"/>
        </w:rPr>
        <w:t>三、收到和处理政府信息公开申请情况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18"/>
        <w:gridCol w:w="854"/>
        <w:gridCol w:w="2086"/>
        <w:gridCol w:w="814"/>
        <w:gridCol w:w="755"/>
        <w:gridCol w:w="755"/>
        <w:gridCol w:w="814"/>
        <w:gridCol w:w="974"/>
        <w:gridCol w:w="712"/>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vMerge w:val="restart"/>
            <w:tcBorders>
              <w:top w:val="single" w:color="auto" w:sz="8" w:space="0"/>
              <w:left w:val="single" w:color="auto" w:sz="8" w:space="0"/>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（本列数据的勾稽关系为：第一项加第二项之和，等于第三项加第四项之和）</w:t>
            </w:r>
          </w:p>
        </w:tc>
        <w:tc>
          <w:tcPr>
            <w:tcW w:w="5513" w:type="dxa"/>
            <w:gridSpan w:val="7"/>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vMerge w:val="continue"/>
            <w:tcBorders>
              <w:top w:val="single" w:color="auto" w:sz="8" w:space="0"/>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14" w:type="dxa"/>
            <w:vMerge w:val="restart"/>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自然人</w:t>
            </w:r>
          </w:p>
        </w:tc>
        <w:tc>
          <w:tcPr>
            <w:tcW w:w="4010" w:type="dxa"/>
            <w:gridSpan w:val="5"/>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法人或其他组织</w:t>
            </w:r>
          </w:p>
        </w:tc>
        <w:tc>
          <w:tcPr>
            <w:tcW w:w="689" w:type="dxa"/>
            <w:vMerge w:val="restart"/>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vMerge w:val="continue"/>
            <w:tcBorders>
              <w:top w:val="single" w:color="auto" w:sz="8" w:space="0"/>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1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商业企业</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科研机构</w:t>
            </w:r>
          </w:p>
        </w:tc>
        <w:tc>
          <w:tcPr>
            <w:tcW w:w="814"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社会公益组织</w:t>
            </w:r>
          </w:p>
        </w:tc>
        <w:tc>
          <w:tcPr>
            <w:tcW w:w="974"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法律服务机构</w:t>
            </w:r>
          </w:p>
        </w:tc>
        <w:tc>
          <w:tcPr>
            <w:tcW w:w="712"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其他</w:t>
            </w:r>
          </w:p>
        </w:tc>
        <w:tc>
          <w:tcPr>
            <w:tcW w:w="689" w:type="dxa"/>
            <w:vMerge w:val="continue"/>
            <w:tcBorders>
              <w:top w:val="single" w:color="auto" w:sz="8" w:space="0"/>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kern w:val="0"/>
                <w:sz w:val="20"/>
                <w:szCs w:val="20"/>
              </w:rPr>
              <w:t>一、本年新收政府信息公开申请数量</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kern w:val="0"/>
                <w:sz w:val="20"/>
                <w:szCs w:val="20"/>
              </w:rPr>
              <w:t>二、上年结转政府信息公开申请数量</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restart"/>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三、本年度办理结果</w:t>
            </w:r>
          </w:p>
        </w:tc>
        <w:tc>
          <w:tcPr>
            <w:tcW w:w="2940" w:type="dxa"/>
            <w:gridSpan w:val="2"/>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（一）予以公开</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89"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940" w:type="dxa"/>
            <w:gridSpan w:val="2"/>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（二）部分公开（区分处理的，只计这一情形，不计其他情形）</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restart"/>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（三）不予公开</w:t>
            </w: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1.属于国家秘密</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89"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2.其他法律行政法规禁止公开</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3.危及“三安全一稳定”</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4.保护第三方合法权益</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5.属于三类内部事务信息</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6.属于四类过程性信息</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7.属于行政执法案卷</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8.属于行政查询事项</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restart"/>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（四）无法提供</w:t>
            </w: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1.本机关不掌握相关政府信息</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2.没有现成信息需要另行制作</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3.补正后申请内容仍不明确</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restart"/>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（五）不予处理</w:t>
            </w: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1.信访举报投诉类申请</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2.重复申请</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3.要求提供公开出版物</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4.无正当理由大量反复申请</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5.要求行政机关确认或重新出具已获取信息</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940" w:type="dxa"/>
            <w:gridSpan w:val="2"/>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（六）其他处理</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2940" w:type="dxa"/>
            <w:gridSpan w:val="2"/>
            <w:tcBorders>
              <w:top w:val="nil"/>
              <w:left w:val="nil"/>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eastAsia="楷体" w:cs="Times New Roman"/>
                <w:kern w:val="0"/>
                <w:sz w:val="20"/>
                <w:szCs w:val="20"/>
              </w:rPr>
              <w:t>（七）总计</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left"/>
              <w:rPr>
                <w:rFonts w:hint="default" w:ascii="Times New Roman" w:hAnsi="Times New Roman" w:cs="Times New Roman"/>
              </w:rPr>
            </w:pPr>
            <w:r>
              <w:rPr>
                <w:rFonts w:hint="default" w:ascii="Times New Roman" w:hAnsi="Times New Roman" w:cs="Times New Roman"/>
                <w:kern w:val="0"/>
                <w:sz w:val="20"/>
                <w:szCs w:val="20"/>
              </w:rPr>
              <w:t>四、结转下年度继续办理</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5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81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97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712"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eastAsia="宋体" w:cs="Times New Roman"/>
                <w:kern w:val="2"/>
                <w:sz w:val="21"/>
                <w:szCs w:val="24"/>
                <w:lang w:val="en-US" w:eastAsia="zh-CN" w:bidi="ar-SA"/>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r>
    </w:tbl>
    <w:p>
      <w:pPr>
        <w:pStyle w:val="5"/>
        <w:widowControl/>
        <w:shd w:val="clear" w:color="auto" w:fill="FFFFFF"/>
        <w:spacing w:before="0" w:beforeAutospacing="0" w:after="0" w:afterAutospacing="0"/>
        <w:ind w:firstLine="420"/>
        <w:jc w:val="both"/>
        <w:rPr>
          <w:rFonts w:hint="default" w:ascii="Times New Roman" w:hAnsi="Times New Roman" w:cs="Times New Roman"/>
          <w:color w:val="333333"/>
        </w:rPr>
      </w:pPr>
    </w:p>
    <w:p>
      <w:pPr>
        <w:pStyle w:val="5"/>
        <w:widowControl/>
        <w:shd w:val="clear" w:color="auto" w:fill="FFFFFF"/>
        <w:spacing w:before="0" w:beforeAutospacing="0" w:after="0" w:afterAutospacing="0"/>
        <w:ind w:firstLine="640" w:firstLineChars="200"/>
        <w:jc w:val="both"/>
        <w:rPr>
          <w:rFonts w:hint="default" w:ascii="Times New Roman" w:hAnsi="Times New Roman" w:eastAsia="黑体" w:cs="Times New Roman"/>
          <w:bCs/>
          <w:color w:val="333333"/>
          <w:sz w:val="32"/>
          <w:szCs w:val="32"/>
          <w:shd w:val="clear" w:color="auto" w:fill="FFFFFF"/>
        </w:rPr>
      </w:pPr>
      <w:r>
        <w:rPr>
          <w:rFonts w:hint="default" w:ascii="Times New Roman" w:hAnsi="Times New Roman" w:eastAsia="黑体" w:cs="Times New Roman"/>
          <w:bCs/>
          <w:color w:val="333333"/>
          <w:sz w:val="32"/>
          <w:szCs w:val="32"/>
          <w:shd w:val="clear" w:color="auto" w:fill="FFFFFF"/>
        </w:rPr>
        <w:t>四、政府信息公开行政复议、行政诉讼情况</w:t>
      </w:r>
    </w:p>
    <w:p>
      <w:pPr>
        <w:pStyle w:val="5"/>
        <w:widowControl/>
        <w:shd w:val="clear" w:color="auto" w:fill="FFFFFF"/>
        <w:spacing w:before="0" w:beforeAutospacing="0" w:after="0" w:afterAutospacing="0"/>
        <w:ind w:firstLine="420"/>
        <w:jc w:val="both"/>
        <w:rPr>
          <w:rFonts w:hint="default" w:ascii="Times New Roman" w:hAnsi="Times New Roman" w:cs="Times New Roman"/>
          <w:color w:val="333333"/>
        </w:rPr>
      </w:pP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结果维持</w:t>
            </w:r>
          </w:p>
        </w:tc>
        <w:tc>
          <w:tcPr>
            <w:tcW w:w="604" w:type="dxa"/>
            <w:vMerge w:val="restart"/>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尚未审结</w:t>
            </w:r>
          </w:p>
        </w:tc>
        <w:tc>
          <w:tcPr>
            <w:tcW w:w="658" w:type="dxa"/>
            <w:vMerge w:val="restart"/>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总计</w:t>
            </w:r>
          </w:p>
        </w:tc>
        <w:tc>
          <w:tcPr>
            <w:tcW w:w="2970" w:type="dxa"/>
            <w:gridSpan w:val="5"/>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604" w:type="dxa"/>
            <w:vMerge w:val="continue"/>
            <w:tcBorders>
              <w:top w:val="nil"/>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604" w:type="dxa"/>
            <w:vMerge w:val="continue"/>
            <w:tcBorders>
              <w:top w:val="single" w:color="auto" w:sz="8" w:space="0"/>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604" w:type="dxa"/>
            <w:vMerge w:val="continue"/>
            <w:tcBorders>
              <w:top w:val="single" w:color="auto" w:sz="8" w:space="0"/>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658" w:type="dxa"/>
            <w:vMerge w:val="continue"/>
            <w:tcBorders>
              <w:top w:val="single" w:color="auto" w:sz="8" w:space="0"/>
              <w:left w:val="nil"/>
              <w:bottom w:val="single" w:color="auto" w:sz="8" w:space="0"/>
              <w:right w:val="single" w:color="auto" w:sz="8" w:space="0"/>
            </w:tcBorders>
            <w:tcMar>
              <w:left w:w="108" w:type="dxa"/>
              <w:right w:w="108" w:type="dxa"/>
            </w:tcMar>
            <w:vAlign w:val="center"/>
          </w:tcPr>
          <w:p>
            <w:pPr>
              <w:rPr>
                <w:rFonts w:hint="default" w:ascii="Times New Roman" w:hAnsi="Times New Roman" w:cs="Times New Roman"/>
                <w:sz w:val="24"/>
              </w:rPr>
            </w:pPr>
          </w:p>
        </w:tc>
        <w:tc>
          <w:tcPr>
            <w:tcW w:w="550"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结果维持</w:t>
            </w:r>
          </w:p>
        </w:tc>
        <w:tc>
          <w:tcPr>
            <w:tcW w:w="60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其他结果</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尚未审结</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总计</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其他结果</w:t>
            </w:r>
          </w:p>
        </w:tc>
        <w:tc>
          <w:tcPr>
            <w:tcW w:w="606"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color w:val="000000"/>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4"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58"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550"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60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5"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606" w:type="dxa"/>
            <w:tcBorders>
              <w:top w:val="nil"/>
              <w:left w:val="nil"/>
              <w:bottom w:val="single" w:color="auto" w:sz="8" w:space="0"/>
              <w:right w:val="single" w:color="auto" w:sz="8" w:space="0"/>
            </w:tcBorders>
            <w:tcMar>
              <w:left w:w="108" w:type="dxa"/>
              <w:right w:w="108" w:type="dxa"/>
            </w:tcMar>
            <w:vAlign w:val="center"/>
          </w:tcPr>
          <w:p>
            <w:pPr>
              <w:widowControl/>
              <w:spacing w:after="180"/>
              <w:jc w:val="center"/>
              <w:rPr>
                <w:rFonts w:hint="eastAsia" w:ascii="Times New Roman" w:hAnsi="Times New Roman" w:eastAsia="宋体" w:cs="Times New Roman"/>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6" w:type="dxa"/>
            <w:tcBorders>
              <w:top w:val="nil"/>
              <w:left w:val="nil"/>
              <w:bottom w:val="single" w:color="auto" w:sz="8" w:space="0"/>
              <w:right w:val="single" w:color="auto" w:sz="8" w:space="0"/>
            </w:tcBorders>
            <w:tcMar>
              <w:left w:w="108" w:type="dxa"/>
              <w:right w:w="108" w:type="dxa"/>
            </w:tcMar>
            <w:vAlign w:val="center"/>
          </w:tcPr>
          <w:p>
            <w:pPr>
              <w:rPr>
                <w:rFonts w:hint="eastAsia" w:ascii="Times New Roman" w:hAnsi="Times New Roman" w:eastAsia="宋体" w:cs="Times New Roman"/>
                <w:sz w:val="24"/>
                <w:lang w:val="en-US" w:eastAsia="zh-CN"/>
              </w:rPr>
            </w:pPr>
            <w:r>
              <w:rPr>
                <w:rFonts w:hint="eastAsia" w:cs="Times New Roman"/>
                <w:sz w:val="24"/>
                <w:lang w:val="en-US" w:eastAsia="zh-CN"/>
              </w:rPr>
              <w:t>0</w:t>
            </w:r>
          </w:p>
        </w:tc>
      </w:tr>
    </w:tbl>
    <w:p>
      <w:pPr>
        <w:widowControl/>
        <w:shd w:val="clear" w:color="auto" w:fill="FFFFFF"/>
        <w:jc w:val="center"/>
        <w:rPr>
          <w:rFonts w:hint="default" w:ascii="Times New Roman" w:hAnsi="Times New Roman" w:cs="Times New Roman"/>
          <w:color w:val="333333"/>
          <w:sz w:val="24"/>
        </w:rPr>
      </w:pPr>
    </w:p>
    <w:p>
      <w:pPr>
        <w:pStyle w:val="5"/>
        <w:widowControl/>
        <w:shd w:val="clear" w:color="auto" w:fill="FFFFFF"/>
        <w:spacing w:before="0" w:beforeAutospacing="0" w:after="0" w:afterAutospacing="0" w:line="576" w:lineRule="exact"/>
        <w:ind w:firstLine="640" w:firstLineChars="200"/>
        <w:jc w:val="both"/>
        <w:rPr>
          <w:rFonts w:hint="default" w:ascii="Times New Roman" w:hAnsi="Times New Roman" w:eastAsia="黑体" w:cs="Times New Roman"/>
          <w:bCs/>
          <w:color w:val="333333"/>
          <w:sz w:val="32"/>
          <w:szCs w:val="32"/>
          <w:shd w:val="clear" w:color="auto" w:fill="FFFFFF"/>
        </w:rPr>
      </w:pPr>
      <w:r>
        <w:rPr>
          <w:rFonts w:hint="default" w:ascii="Times New Roman" w:hAnsi="Times New Roman" w:eastAsia="黑体" w:cs="Times New Roman"/>
          <w:bCs/>
          <w:color w:val="333333"/>
          <w:sz w:val="32"/>
          <w:szCs w:val="32"/>
          <w:shd w:val="clear" w:color="auto" w:fill="FFFFFF"/>
        </w:rPr>
        <w:t>五、存在的主要问题及改进情况</w:t>
      </w:r>
    </w:p>
    <w:p>
      <w:pPr>
        <w:numPr>
          <w:ilvl w:val="0"/>
          <w:numId w:val="0"/>
        </w:numPr>
        <w:spacing w:line="58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下一步</w:t>
      </w:r>
      <w:r>
        <w:rPr>
          <w:rFonts w:hint="eastAsia" w:ascii="仿宋_GB2312" w:eastAsia="仿宋_GB2312"/>
          <w:sz w:val="32"/>
          <w:szCs w:val="32"/>
        </w:rPr>
        <w:t>，科技金融办将继续围绕加快实施创新驱动发展战略和深化科技体制改革中心工作，全面做好政府信息的主动公开和依申请公开工作：一是及时做好重大科技战略思想、科技决策部署、重大科技成果、科技工作进展等有关信息的发布。二是加大科技创新</w:t>
      </w:r>
      <w:r>
        <w:rPr>
          <w:rFonts w:hint="eastAsia" w:ascii="仿宋_GB2312" w:eastAsia="仿宋_GB2312"/>
          <w:sz w:val="32"/>
          <w:szCs w:val="32"/>
          <w:lang w:val="en-US" w:eastAsia="zh-CN"/>
        </w:rPr>
        <w:t>和金融</w:t>
      </w:r>
      <w:r>
        <w:rPr>
          <w:rFonts w:hint="eastAsia" w:ascii="仿宋_GB2312" w:eastAsia="仿宋_GB2312"/>
          <w:sz w:val="32"/>
          <w:szCs w:val="32"/>
        </w:rPr>
        <w:t>政策的宣传解读。三是深入做好科技计划管理和经费信息公开。</w:t>
      </w:r>
    </w:p>
    <w:p>
      <w:pPr>
        <w:pStyle w:val="5"/>
        <w:widowControl/>
        <w:shd w:val="clear" w:color="auto" w:fill="FFFFFF"/>
        <w:spacing w:before="0" w:beforeAutospacing="0" w:after="0" w:afterAutospacing="0" w:line="576" w:lineRule="exact"/>
        <w:ind w:firstLine="640" w:firstLineChars="200"/>
        <w:jc w:val="both"/>
        <w:rPr>
          <w:rFonts w:hint="default" w:ascii="Times New Roman" w:hAnsi="Times New Roman" w:eastAsia="黑体" w:cs="Times New Roman"/>
          <w:bCs/>
          <w:color w:val="333333"/>
          <w:sz w:val="32"/>
          <w:szCs w:val="32"/>
          <w:shd w:val="clear" w:color="auto" w:fill="FFFFFF"/>
        </w:rPr>
      </w:pPr>
      <w:r>
        <w:rPr>
          <w:rFonts w:hint="default" w:ascii="Times New Roman" w:hAnsi="Times New Roman" w:eastAsia="黑体" w:cs="Times New Roman"/>
          <w:bCs/>
          <w:color w:val="333333"/>
          <w:sz w:val="32"/>
          <w:szCs w:val="32"/>
          <w:shd w:val="clear" w:color="auto" w:fill="FFFFFF"/>
        </w:rPr>
        <w:t>六、其他需要报告的事项</w:t>
      </w:r>
    </w:p>
    <w:p>
      <w:pPr>
        <w:pStyle w:val="5"/>
        <w:widowControl/>
        <w:shd w:val="clear" w:color="auto" w:fill="FFFFFF"/>
        <w:spacing w:before="0" w:beforeAutospacing="0" w:after="0" w:afterAutospacing="0" w:line="576" w:lineRule="exact"/>
        <w:ind w:firstLine="420"/>
        <w:jc w:val="both"/>
        <w:rPr>
          <w:rFonts w:hint="eastAsia" w:ascii="Times New Roman" w:hAnsi="Times New Roman" w:eastAsia="仿宋" w:cs="Times New Roman"/>
          <w:sz w:val="32"/>
          <w:lang w:eastAsia="zh-CN"/>
        </w:rPr>
      </w:pPr>
      <w:r>
        <w:rPr>
          <w:rFonts w:hint="eastAsia" w:eastAsia="仿宋_GB2312" w:cs="Times New Roman"/>
          <w:color w:val="333333"/>
          <w:sz w:val="32"/>
          <w:szCs w:val="32"/>
          <w:shd w:val="clear" w:color="auto" w:fill="FFFFFF"/>
          <w:lang w:eastAsia="zh-CN"/>
        </w:rPr>
        <w:t>无</w:t>
      </w:r>
    </w:p>
    <w:sectPr>
      <w:pgSz w:w="11906" w:h="16838"/>
      <w:pgMar w:top="1701" w:right="1417" w:bottom="1417" w:left="1417" w:header="851" w:footer="992" w:gutter="0"/>
      <w:cols w:space="0" w:num="1"/>
      <w:docGrid w:type="linesAndChars" w:linePitch="319" w:charSpace="2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script"/>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微软雅黑">
    <w:altName w:val="方正黑体_GBK"/>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HorizontalSpacing w:val="105"/>
  <w:drawingGridVerticalSpacing w:val="159"/>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5C40"/>
    <w:rsid w:val="00001793"/>
    <w:rsid w:val="000477CF"/>
    <w:rsid w:val="000765DB"/>
    <w:rsid w:val="00150BA1"/>
    <w:rsid w:val="00155C40"/>
    <w:rsid w:val="00202F7C"/>
    <w:rsid w:val="00347C41"/>
    <w:rsid w:val="003538F0"/>
    <w:rsid w:val="00381339"/>
    <w:rsid w:val="004347C7"/>
    <w:rsid w:val="00481C78"/>
    <w:rsid w:val="004B5835"/>
    <w:rsid w:val="00606070"/>
    <w:rsid w:val="00665783"/>
    <w:rsid w:val="006F0CBB"/>
    <w:rsid w:val="007449E9"/>
    <w:rsid w:val="007A7207"/>
    <w:rsid w:val="007D4972"/>
    <w:rsid w:val="00822A0D"/>
    <w:rsid w:val="008A18E3"/>
    <w:rsid w:val="009D711B"/>
    <w:rsid w:val="00AA7157"/>
    <w:rsid w:val="00AE437F"/>
    <w:rsid w:val="00B1167A"/>
    <w:rsid w:val="00B540FD"/>
    <w:rsid w:val="00BF46F4"/>
    <w:rsid w:val="00C24C2A"/>
    <w:rsid w:val="00C71360"/>
    <w:rsid w:val="00D156DE"/>
    <w:rsid w:val="00D619EF"/>
    <w:rsid w:val="00E259FB"/>
    <w:rsid w:val="00F426A3"/>
    <w:rsid w:val="03EB2175"/>
    <w:rsid w:val="054B3B26"/>
    <w:rsid w:val="064B3E1A"/>
    <w:rsid w:val="079D3857"/>
    <w:rsid w:val="0AAE1DF5"/>
    <w:rsid w:val="0D705CDA"/>
    <w:rsid w:val="110A5E0B"/>
    <w:rsid w:val="13171DE2"/>
    <w:rsid w:val="18A22A0C"/>
    <w:rsid w:val="19882074"/>
    <w:rsid w:val="20430346"/>
    <w:rsid w:val="27DC648D"/>
    <w:rsid w:val="28B04605"/>
    <w:rsid w:val="2992645E"/>
    <w:rsid w:val="2B5555A0"/>
    <w:rsid w:val="2FFF0B17"/>
    <w:rsid w:val="35DD35AC"/>
    <w:rsid w:val="35F42A8B"/>
    <w:rsid w:val="396800DF"/>
    <w:rsid w:val="3D8A046F"/>
    <w:rsid w:val="40AE7618"/>
    <w:rsid w:val="43FC7133"/>
    <w:rsid w:val="4693096A"/>
    <w:rsid w:val="486B5B2B"/>
    <w:rsid w:val="4B1E1EF5"/>
    <w:rsid w:val="515953F2"/>
    <w:rsid w:val="65B92057"/>
    <w:rsid w:val="68AA085E"/>
    <w:rsid w:val="6EA6689E"/>
    <w:rsid w:val="71C778D8"/>
    <w:rsid w:val="72157ED4"/>
    <w:rsid w:val="76135E66"/>
    <w:rsid w:val="7AA246AE"/>
    <w:rsid w:val="7AFE3386"/>
    <w:rsid w:val="7F8F3831"/>
    <w:rsid w:val="7FB636DD"/>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9"/>
    <w:qFormat/>
    <w:uiPriority w:val="99"/>
    <w:pPr>
      <w:ind w:left="100" w:leftChars="2500"/>
    </w:pPr>
  </w:style>
  <w:style w:type="paragraph" w:styleId="3">
    <w:name w:val="footer"/>
    <w:basedOn w:val="1"/>
    <w:link w:val="10"/>
    <w:qFormat/>
    <w:uiPriority w:val="99"/>
    <w:pPr>
      <w:tabs>
        <w:tab w:val="center" w:pos="4153"/>
        <w:tab w:val="right" w:pos="8306"/>
      </w:tabs>
      <w:snapToGrid w:val="0"/>
      <w:jc w:val="left"/>
    </w:pPr>
    <w:rPr>
      <w:sz w:val="18"/>
      <w:szCs w:val="18"/>
    </w:rPr>
  </w:style>
  <w:style w:type="paragraph" w:styleId="4">
    <w:name w:val="header"/>
    <w:basedOn w:val="1"/>
    <w:link w:val="11"/>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100" w:beforeAutospacing="1" w:after="100" w:afterAutospacing="1"/>
      <w:jc w:val="left"/>
    </w:pPr>
    <w:rPr>
      <w:kern w:val="0"/>
      <w:sz w:val="24"/>
    </w:rPr>
  </w:style>
  <w:style w:type="table" w:styleId="7">
    <w:name w:val="Table Grid"/>
    <w:basedOn w:val="6"/>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9">
    <w:name w:val="日期 Char"/>
    <w:basedOn w:val="8"/>
    <w:link w:val="2"/>
    <w:qFormat/>
    <w:locked/>
    <w:uiPriority w:val="99"/>
    <w:rPr>
      <w:kern w:val="2"/>
      <w:sz w:val="24"/>
    </w:rPr>
  </w:style>
  <w:style w:type="character" w:customStyle="1" w:styleId="10">
    <w:name w:val="页脚 Char"/>
    <w:basedOn w:val="8"/>
    <w:link w:val="3"/>
    <w:qFormat/>
    <w:locked/>
    <w:uiPriority w:val="99"/>
    <w:rPr>
      <w:kern w:val="2"/>
      <w:sz w:val="18"/>
    </w:rPr>
  </w:style>
  <w:style w:type="character" w:customStyle="1" w:styleId="11">
    <w:name w:val="页眉 Char"/>
    <w:basedOn w:val="8"/>
    <w:link w:val="4"/>
    <w:qFormat/>
    <w:locked/>
    <w:uiPriority w:val="99"/>
    <w:rPr>
      <w:kern w:val="2"/>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信念技术论坛</Company>
  <Pages>4</Pages>
  <Words>1019</Words>
  <Characters>671</Characters>
  <Lines>5</Lines>
  <Paragraphs>3</Paragraphs>
  <TotalTime>8</TotalTime>
  <ScaleCrop>false</ScaleCrop>
  <LinksUpToDate>false</LinksUpToDate>
  <CharactersWithSpaces>1687</CharactersWithSpaces>
  <Application>WPS Office_11.8.2.10953_F1E327BC-269C-435d-A152-05C5408002CA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2017-09-11T14:30:00Z</dcterms:created>
  <dc:creator>微软用户</dc:creator>
  <cp:lastModifiedBy>thtf</cp:lastModifiedBy>
  <cp:lastPrinted>2020-01-09T17:09:00Z</cp:lastPrinted>
  <dcterms:modified xsi:type="dcterms:W3CDTF">2025-02-12T09:30:38Z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2052-11.8.2.10953</vt:lpwstr>
  </property>
</Properties>
</file>