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5"/>
        <w:tblW w:w="5327" w:type="pct"/>
        <w:jc w:val="center"/>
        <w:tblCellSpacing w:w="15" w:type="dxa"/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14967"/>
      </w:tblGrid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blCellSpacing w:w="15" w:type="dxa"/>
          <w:jc w:val="center"/>
        </w:trPr>
        <w:tc>
          <w:tcPr>
            <w:tcW w:w="4979" w:type="pct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36"/>
              </w:rPr>
              <w:t>威海临港区</w:t>
            </w: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36"/>
                <w:lang w:eastAsia="zh-CN"/>
              </w:rPr>
              <w:t>商务局</w:t>
            </w: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36"/>
              </w:rPr>
              <w:t>随机抽查事项清单</w:t>
            </w:r>
          </w:p>
          <w:tbl>
            <w:tblPr>
              <w:tblStyle w:val="5"/>
              <w:tblW w:w="14850" w:type="dxa"/>
              <w:tblInd w:w="0" w:type="dxa"/>
              <w:tblBorders>
                <w:top w:val="outset" w:color="auto" w:sz="6" w:space="0"/>
                <w:left w:val="outset" w:color="auto" w:sz="6" w:space="0"/>
                <w:bottom w:val="outset" w:color="auto" w:sz="6" w:space="0"/>
                <w:right w:val="outset" w:color="auto" w:sz="6" w:space="0"/>
                <w:insideH w:val="none" w:color="auto" w:sz="0" w:space="0"/>
                <w:insideV w:val="none" w:color="auto" w:sz="0" w:space="0"/>
              </w:tblBorders>
              <w:tblLayout w:type="fixed"/>
              <w:tblCellMar>
                <w:top w:w="15" w:type="dxa"/>
                <w:left w:w="15" w:type="dxa"/>
                <w:bottom w:w="15" w:type="dxa"/>
                <w:right w:w="15" w:type="dxa"/>
              </w:tblCellMar>
            </w:tblPr>
            <w:tblGrid>
              <w:gridCol w:w="510"/>
              <w:gridCol w:w="810"/>
              <w:gridCol w:w="676"/>
              <w:gridCol w:w="2568"/>
              <w:gridCol w:w="6351"/>
              <w:gridCol w:w="676"/>
              <w:gridCol w:w="1081"/>
              <w:gridCol w:w="676"/>
              <w:gridCol w:w="781"/>
              <w:gridCol w:w="721"/>
            </w:tblGrid>
            <w:tr>
              <w:tblPrEx>
                <w:tblBorders>
                  <w:top w:val="outset" w:color="auto" w:sz="6" w:space="0"/>
                  <w:left w:val="outset" w:color="auto" w:sz="6" w:space="0"/>
                  <w:bottom w:val="outset" w:color="auto" w:sz="6" w:space="0"/>
                  <w:right w:val="outset" w:color="auto" w:sz="6" w:space="0"/>
                  <w:insideH w:val="none" w:color="auto" w:sz="0" w:space="0"/>
                  <w:insideV w:val="none" w:color="auto" w:sz="0" w:space="0"/>
                </w:tblBorders>
                <w:tblCellMar>
                  <w:top w:w="15" w:type="dxa"/>
                  <w:left w:w="15" w:type="dxa"/>
                  <w:bottom w:w="15" w:type="dxa"/>
                  <w:right w:w="15" w:type="dxa"/>
                </w:tblCellMar>
              </w:tblPrEx>
              <w:trPr>
                <w:trHeight w:val="538" w:hRule="atLeast"/>
              </w:trPr>
              <w:tc>
                <w:tcPr>
                  <w:tcW w:w="510" w:type="dxa"/>
                  <w:tcBorders>
                    <w:top w:val="single" w:color="auto" w:sz="4" w:space="0"/>
                    <w:left w:val="single" w:color="auto" w:sz="4" w:space="0"/>
                    <w:bottom w:val="single" w:color="auto" w:sz="4" w:space="0"/>
                    <w:right w:val="single" w:color="auto" w:sz="4" w:space="0"/>
                  </w:tcBorders>
                  <w:shd w:val="clear" w:color="auto" w:fill="auto"/>
                  <w:tcMar>
                    <w:top w:w="0" w:type="dxa"/>
                    <w:left w:w="88" w:type="dxa"/>
                    <w:bottom w:w="0" w:type="dxa"/>
                    <w:right w:w="88" w:type="dxa"/>
                  </w:tcMar>
                </w:tcPr>
                <w:p>
                  <w:pPr>
                    <w:widowControl/>
                    <w:jc w:val="center"/>
                    <w:rPr>
                      <w:rFonts w:ascii="宋体" w:hAnsi="宋体" w:eastAsia="宋体" w:cs="宋体"/>
                      <w:kern w:val="0"/>
                      <w:sz w:val="24"/>
                      <w:szCs w:val="24"/>
                    </w:rPr>
                  </w:pPr>
                  <w:r>
                    <w:rPr>
                      <w:rFonts w:hint="eastAsia" w:ascii="宋体" w:hAnsi="宋体" w:eastAsia="宋体" w:cs="宋体"/>
                      <w:b/>
                      <w:bCs/>
                      <w:kern w:val="0"/>
                      <w:sz w:val="18"/>
                      <w:szCs w:val="18"/>
                    </w:rPr>
                    <w:t>序号</w:t>
                  </w:r>
                </w:p>
              </w:tc>
              <w:tc>
                <w:tcPr>
                  <w:tcW w:w="810" w:type="dxa"/>
                  <w:tcBorders>
                    <w:top w:val="single" w:color="auto" w:sz="4" w:space="0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auto" w:fill="auto"/>
                  <w:tcMar>
                    <w:top w:w="0" w:type="dxa"/>
                    <w:left w:w="88" w:type="dxa"/>
                    <w:bottom w:w="0" w:type="dxa"/>
                    <w:right w:w="88" w:type="dxa"/>
                  </w:tcMar>
                  <w:vAlign w:val="center"/>
                </w:tcPr>
                <w:p>
                  <w:pPr>
                    <w:widowControl/>
                    <w:jc w:val="center"/>
                    <w:rPr>
                      <w:rFonts w:ascii="宋体" w:hAnsi="宋体" w:eastAsia="宋体" w:cs="宋体"/>
                      <w:kern w:val="0"/>
                      <w:sz w:val="24"/>
                      <w:szCs w:val="24"/>
                    </w:rPr>
                  </w:pPr>
                  <w:r>
                    <w:rPr>
                      <w:rFonts w:hint="eastAsia" w:ascii="宋体" w:hAnsi="宋体" w:eastAsia="宋体" w:cs="宋体"/>
                      <w:b/>
                      <w:bCs/>
                      <w:kern w:val="0"/>
                      <w:sz w:val="18"/>
                      <w:szCs w:val="18"/>
                    </w:rPr>
                    <w:t>抽查事项</w:t>
                  </w:r>
                </w:p>
              </w:tc>
              <w:tc>
                <w:tcPr>
                  <w:tcW w:w="676" w:type="dxa"/>
                  <w:tcBorders>
                    <w:top w:val="single" w:color="auto" w:sz="4" w:space="0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auto" w:fill="auto"/>
                  <w:tcMar>
                    <w:top w:w="0" w:type="dxa"/>
                    <w:left w:w="88" w:type="dxa"/>
                    <w:bottom w:w="0" w:type="dxa"/>
                    <w:right w:w="88" w:type="dxa"/>
                  </w:tcMar>
                  <w:vAlign w:val="center"/>
                </w:tcPr>
                <w:p>
                  <w:pPr>
                    <w:widowControl/>
                    <w:jc w:val="center"/>
                    <w:rPr>
                      <w:rFonts w:ascii="宋体" w:hAnsi="宋体" w:eastAsia="宋体" w:cs="宋体"/>
                      <w:kern w:val="0"/>
                      <w:sz w:val="24"/>
                      <w:szCs w:val="24"/>
                    </w:rPr>
                  </w:pPr>
                  <w:r>
                    <w:rPr>
                      <w:rFonts w:hint="eastAsia" w:ascii="宋体" w:hAnsi="宋体" w:eastAsia="宋体" w:cs="宋体"/>
                      <w:b/>
                      <w:bCs/>
                      <w:kern w:val="0"/>
                      <w:sz w:val="18"/>
                      <w:szCs w:val="18"/>
                    </w:rPr>
                    <w:t>抽查对象</w:t>
                  </w:r>
                </w:p>
              </w:tc>
              <w:tc>
                <w:tcPr>
                  <w:tcW w:w="2568" w:type="dxa"/>
                  <w:tcBorders>
                    <w:top w:val="single" w:color="auto" w:sz="4" w:space="0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auto" w:fill="auto"/>
                  <w:tcMar>
                    <w:top w:w="0" w:type="dxa"/>
                    <w:left w:w="88" w:type="dxa"/>
                    <w:bottom w:w="0" w:type="dxa"/>
                    <w:right w:w="88" w:type="dxa"/>
                  </w:tcMar>
                  <w:vAlign w:val="center"/>
                </w:tcPr>
                <w:p>
                  <w:pPr>
                    <w:widowControl/>
                    <w:jc w:val="center"/>
                    <w:rPr>
                      <w:rFonts w:ascii="宋体" w:hAnsi="宋体" w:eastAsia="宋体" w:cs="宋体"/>
                      <w:kern w:val="0"/>
                      <w:sz w:val="24"/>
                      <w:szCs w:val="24"/>
                    </w:rPr>
                  </w:pPr>
                  <w:r>
                    <w:rPr>
                      <w:rFonts w:hint="eastAsia" w:ascii="宋体" w:hAnsi="宋体" w:eastAsia="宋体" w:cs="宋体"/>
                      <w:b/>
                      <w:bCs/>
                      <w:kern w:val="0"/>
                      <w:sz w:val="18"/>
                      <w:szCs w:val="18"/>
                    </w:rPr>
                    <w:t>抽查内容</w:t>
                  </w:r>
                </w:p>
              </w:tc>
              <w:tc>
                <w:tcPr>
                  <w:tcW w:w="6351" w:type="dxa"/>
                  <w:tcBorders>
                    <w:top w:val="single" w:color="auto" w:sz="4" w:space="0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auto" w:fill="auto"/>
                  <w:tcMar>
                    <w:top w:w="0" w:type="dxa"/>
                    <w:left w:w="88" w:type="dxa"/>
                    <w:bottom w:w="0" w:type="dxa"/>
                    <w:right w:w="88" w:type="dxa"/>
                  </w:tcMar>
                  <w:vAlign w:val="center"/>
                </w:tcPr>
                <w:p>
                  <w:pPr>
                    <w:widowControl/>
                    <w:jc w:val="center"/>
                    <w:rPr>
                      <w:rFonts w:ascii="宋体" w:hAnsi="宋体" w:eastAsia="宋体" w:cs="宋体"/>
                      <w:kern w:val="0"/>
                      <w:sz w:val="24"/>
                      <w:szCs w:val="24"/>
                    </w:rPr>
                  </w:pPr>
                  <w:r>
                    <w:rPr>
                      <w:rFonts w:hint="eastAsia" w:ascii="宋体" w:hAnsi="宋体" w:eastAsia="宋体" w:cs="宋体"/>
                      <w:b/>
                      <w:bCs/>
                      <w:kern w:val="0"/>
                      <w:sz w:val="18"/>
                      <w:szCs w:val="18"/>
                    </w:rPr>
                    <w:t>抽查依据</w:t>
                  </w:r>
                </w:p>
              </w:tc>
              <w:tc>
                <w:tcPr>
                  <w:tcW w:w="676" w:type="dxa"/>
                  <w:tcBorders>
                    <w:top w:val="single" w:color="auto" w:sz="4" w:space="0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auto" w:fill="auto"/>
                  <w:tcMar>
                    <w:top w:w="0" w:type="dxa"/>
                    <w:left w:w="88" w:type="dxa"/>
                    <w:bottom w:w="0" w:type="dxa"/>
                    <w:right w:w="88" w:type="dxa"/>
                  </w:tcMar>
                  <w:vAlign w:val="center"/>
                </w:tcPr>
                <w:p>
                  <w:pPr>
                    <w:widowControl/>
                    <w:jc w:val="center"/>
                    <w:rPr>
                      <w:rFonts w:ascii="宋体" w:hAnsi="宋体" w:eastAsia="宋体" w:cs="宋体"/>
                      <w:kern w:val="0"/>
                      <w:sz w:val="24"/>
                      <w:szCs w:val="24"/>
                    </w:rPr>
                  </w:pPr>
                  <w:r>
                    <w:rPr>
                      <w:rFonts w:hint="eastAsia" w:ascii="宋体" w:hAnsi="宋体" w:eastAsia="宋体" w:cs="宋体"/>
                      <w:b/>
                      <w:bCs/>
                      <w:kern w:val="0"/>
                      <w:sz w:val="18"/>
                      <w:szCs w:val="18"/>
                    </w:rPr>
                    <w:t>抽查方式</w:t>
                  </w:r>
                </w:p>
              </w:tc>
              <w:tc>
                <w:tcPr>
                  <w:tcW w:w="1081" w:type="dxa"/>
                  <w:tcBorders>
                    <w:top w:val="single" w:color="auto" w:sz="4" w:space="0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auto" w:fill="auto"/>
                  <w:tcMar>
                    <w:top w:w="0" w:type="dxa"/>
                    <w:left w:w="88" w:type="dxa"/>
                    <w:bottom w:w="0" w:type="dxa"/>
                    <w:right w:w="88" w:type="dxa"/>
                  </w:tcMar>
                  <w:vAlign w:val="center"/>
                </w:tcPr>
                <w:p>
                  <w:pPr>
                    <w:widowControl/>
                    <w:jc w:val="center"/>
                    <w:rPr>
                      <w:rFonts w:ascii="宋体" w:hAnsi="宋体" w:eastAsia="宋体" w:cs="宋体"/>
                      <w:kern w:val="0"/>
                      <w:sz w:val="24"/>
                      <w:szCs w:val="24"/>
                    </w:rPr>
                  </w:pPr>
                  <w:r>
                    <w:rPr>
                      <w:rFonts w:hint="eastAsia" w:ascii="宋体" w:hAnsi="宋体" w:eastAsia="宋体" w:cs="宋体"/>
                      <w:b/>
                      <w:bCs/>
                      <w:kern w:val="0"/>
                      <w:sz w:val="18"/>
                      <w:szCs w:val="18"/>
                    </w:rPr>
                    <w:t>抽查比例和频次</w:t>
                  </w:r>
                </w:p>
              </w:tc>
              <w:tc>
                <w:tcPr>
                  <w:tcW w:w="676" w:type="dxa"/>
                  <w:tcBorders>
                    <w:top w:val="single" w:color="auto" w:sz="4" w:space="0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auto" w:fill="auto"/>
                  <w:tcMar>
                    <w:top w:w="0" w:type="dxa"/>
                    <w:left w:w="88" w:type="dxa"/>
                    <w:bottom w:w="0" w:type="dxa"/>
                    <w:right w:w="88" w:type="dxa"/>
                  </w:tcMar>
                  <w:vAlign w:val="center"/>
                </w:tcPr>
                <w:p>
                  <w:pPr>
                    <w:widowControl/>
                    <w:jc w:val="center"/>
                    <w:rPr>
                      <w:rFonts w:ascii="宋体" w:hAnsi="宋体" w:eastAsia="宋体" w:cs="宋体"/>
                      <w:kern w:val="0"/>
                      <w:sz w:val="24"/>
                      <w:szCs w:val="24"/>
                    </w:rPr>
                  </w:pPr>
                  <w:r>
                    <w:rPr>
                      <w:rFonts w:hint="eastAsia" w:ascii="宋体" w:hAnsi="宋体" w:eastAsia="宋体" w:cs="宋体"/>
                      <w:b/>
                      <w:bCs/>
                      <w:kern w:val="0"/>
                      <w:sz w:val="18"/>
                      <w:szCs w:val="18"/>
                    </w:rPr>
                    <w:t>实施层级</w:t>
                  </w:r>
                </w:p>
              </w:tc>
              <w:tc>
                <w:tcPr>
                  <w:tcW w:w="781" w:type="dxa"/>
                  <w:tcBorders>
                    <w:top w:val="single" w:color="auto" w:sz="4" w:space="0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auto" w:fill="auto"/>
                  <w:tcMar>
                    <w:top w:w="0" w:type="dxa"/>
                    <w:left w:w="88" w:type="dxa"/>
                    <w:bottom w:w="0" w:type="dxa"/>
                    <w:right w:w="88" w:type="dxa"/>
                  </w:tcMar>
                  <w:vAlign w:val="center"/>
                </w:tcPr>
                <w:p>
                  <w:pPr>
                    <w:widowControl/>
                    <w:jc w:val="center"/>
                    <w:rPr>
                      <w:rFonts w:ascii="宋体" w:hAnsi="宋体" w:eastAsia="宋体" w:cs="宋体"/>
                      <w:kern w:val="0"/>
                      <w:sz w:val="24"/>
                      <w:szCs w:val="24"/>
                    </w:rPr>
                  </w:pPr>
                  <w:r>
                    <w:rPr>
                      <w:rFonts w:hint="eastAsia" w:ascii="宋体" w:hAnsi="宋体" w:eastAsia="宋体" w:cs="宋体"/>
                      <w:b/>
                      <w:bCs/>
                      <w:kern w:val="0"/>
                      <w:sz w:val="18"/>
                      <w:szCs w:val="18"/>
                    </w:rPr>
                    <w:t>事项类别</w:t>
                  </w:r>
                </w:p>
              </w:tc>
              <w:tc>
                <w:tcPr>
                  <w:tcW w:w="721" w:type="dxa"/>
                  <w:tcBorders>
                    <w:top w:val="single" w:color="auto" w:sz="4" w:space="0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auto" w:fill="auto"/>
                  <w:tcMar>
                    <w:top w:w="0" w:type="dxa"/>
                    <w:left w:w="88" w:type="dxa"/>
                    <w:bottom w:w="0" w:type="dxa"/>
                    <w:right w:w="88" w:type="dxa"/>
                  </w:tcMar>
                  <w:vAlign w:val="center"/>
                </w:tcPr>
                <w:p>
                  <w:pPr>
                    <w:widowControl/>
                    <w:jc w:val="center"/>
                    <w:rPr>
                      <w:rFonts w:ascii="宋体" w:hAnsi="宋体" w:eastAsia="宋体" w:cs="宋体"/>
                      <w:kern w:val="0"/>
                      <w:sz w:val="24"/>
                      <w:szCs w:val="24"/>
                    </w:rPr>
                  </w:pPr>
                  <w:r>
                    <w:rPr>
                      <w:rFonts w:hint="eastAsia" w:ascii="宋体" w:hAnsi="宋体" w:eastAsia="宋体" w:cs="宋体"/>
                      <w:b/>
                      <w:bCs/>
                      <w:kern w:val="0"/>
                      <w:sz w:val="18"/>
                      <w:szCs w:val="18"/>
                    </w:rPr>
                    <w:t>备注</w:t>
                  </w:r>
                </w:p>
              </w:tc>
            </w:tr>
            <w:tr>
              <w:tblPrEx>
                <w:tblBorders>
                  <w:top w:val="outset" w:color="auto" w:sz="6" w:space="0"/>
                  <w:left w:val="outset" w:color="auto" w:sz="6" w:space="0"/>
                  <w:bottom w:val="outset" w:color="auto" w:sz="6" w:space="0"/>
                  <w:right w:val="outset" w:color="auto" w:sz="6" w:space="0"/>
                  <w:insideH w:val="none" w:color="auto" w:sz="0" w:space="0"/>
                  <w:insideV w:val="none" w:color="auto" w:sz="0" w:space="0"/>
                </w:tblBorders>
                <w:tblCellMar>
                  <w:top w:w="15" w:type="dxa"/>
                  <w:left w:w="15" w:type="dxa"/>
                  <w:bottom w:w="15" w:type="dxa"/>
                  <w:right w:w="15" w:type="dxa"/>
                </w:tblCellMar>
              </w:tblPrEx>
              <w:trPr>
                <w:trHeight w:val="3110" w:hRule="atLeast"/>
              </w:trPr>
              <w:tc>
                <w:tcPr>
                  <w:tcW w:w="510" w:type="dxa"/>
                  <w:tcBorders>
                    <w:top w:val="nil"/>
                    <w:left w:val="single" w:color="auto" w:sz="4" w:space="0"/>
                    <w:bottom w:val="single" w:color="auto" w:sz="4" w:space="0"/>
                    <w:right w:val="single" w:color="auto" w:sz="4" w:space="0"/>
                  </w:tcBorders>
                  <w:shd w:val="clear" w:color="auto" w:fill="auto"/>
                  <w:tcMar>
                    <w:top w:w="0" w:type="dxa"/>
                    <w:left w:w="88" w:type="dxa"/>
                    <w:bottom w:w="0" w:type="dxa"/>
                    <w:right w:w="88" w:type="dxa"/>
                  </w:tcMar>
                  <w:vAlign w:val="center"/>
                </w:tcPr>
                <w:p>
                  <w:pPr>
                    <w:widowControl/>
                    <w:jc w:val="center"/>
                    <w:rPr>
                      <w:rFonts w:ascii="宋体" w:hAnsi="宋体" w:eastAsia="宋体" w:cs="宋体"/>
                      <w:kern w:val="0"/>
                      <w:sz w:val="24"/>
                      <w:szCs w:val="24"/>
                    </w:rPr>
                  </w:pPr>
                  <w:r>
                    <w:rPr>
                      <w:rFonts w:hint="eastAsia" w:ascii="宋体" w:hAnsi="宋体" w:eastAsia="宋体" w:cs="宋体"/>
                      <w:kern w:val="0"/>
                      <w:sz w:val="15"/>
                      <w:szCs w:val="15"/>
                    </w:rPr>
                    <w:t>1</w:t>
                  </w:r>
                </w:p>
              </w:tc>
              <w:tc>
                <w:tcPr>
                  <w:tcW w:w="810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auto" w:fill="auto"/>
                  <w:tcMar>
                    <w:top w:w="0" w:type="dxa"/>
                    <w:left w:w="88" w:type="dxa"/>
                    <w:bottom w:w="0" w:type="dxa"/>
                    <w:right w:w="88" w:type="dxa"/>
                  </w:tcMar>
                  <w:vAlign w:val="center"/>
                </w:tcPr>
                <w:p>
                  <w:pPr>
                    <w:widowControl/>
                    <w:jc w:val="center"/>
                    <w:rPr>
                      <w:rFonts w:ascii="宋体" w:hAnsi="宋体" w:eastAsia="宋体" w:cs="宋体"/>
                      <w:kern w:val="0"/>
                      <w:sz w:val="18"/>
                      <w:szCs w:val="18"/>
                    </w:rPr>
                  </w:pPr>
                  <w:r>
                    <w:rPr>
                      <w:rFonts w:hint="eastAsia" w:ascii="宋体" w:hAnsi="宋体"/>
                      <w:sz w:val="18"/>
                      <w:szCs w:val="18"/>
                      <w:lang w:eastAsia="zh-CN"/>
                    </w:rPr>
                    <w:t>加油站经营监督检查</w:t>
                  </w:r>
                </w:p>
              </w:tc>
              <w:tc>
                <w:tcPr>
                  <w:tcW w:w="676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auto" w:fill="auto"/>
                  <w:tcMar>
                    <w:top w:w="0" w:type="dxa"/>
                    <w:left w:w="88" w:type="dxa"/>
                    <w:bottom w:w="0" w:type="dxa"/>
                    <w:right w:w="88" w:type="dxa"/>
                  </w:tcMar>
                  <w:vAlign w:val="center"/>
                </w:tcPr>
                <w:p>
                  <w:pPr>
                    <w:widowControl/>
                    <w:jc w:val="center"/>
                    <w:rPr>
                      <w:rFonts w:ascii="宋体" w:hAnsi="宋体" w:eastAsia="宋体" w:cs="宋体"/>
                      <w:kern w:val="0"/>
                      <w:sz w:val="18"/>
                      <w:szCs w:val="18"/>
                    </w:rPr>
                  </w:pPr>
                  <w:r>
                    <w:rPr>
                      <w:rFonts w:hint="eastAsia" w:ascii="宋体" w:hAnsi="宋体"/>
                      <w:sz w:val="18"/>
                      <w:szCs w:val="18"/>
                      <w:lang w:eastAsia="zh-CN"/>
                    </w:rPr>
                    <w:t>取得成品油零售经营资格的加油站</w:t>
                  </w:r>
                </w:p>
              </w:tc>
              <w:tc>
                <w:tcPr>
                  <w:tcW w:w="2568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auto" w:fill="auto"/>
                  <w:tcMar>
                    <w:top w:w="0" w:type="dxa"/>
                    <w:left w:w="88" w:type="dxa"/>
                    <w:bottom w:w="0" w:type="dxa"/>
                    <w:right w:w="88" w:type="dxa"/>
                  </w:tcMar>
                  <w:vAlign w:val="center"/>
                </w:tcPr>
                <w:p>
                  <w:pPr>
                    <w:widowControl/>
                    <w:jc w:val="center"/>
                    <w:rPr>
                      <w:rFonts w:ascii="宋体" w:hAnsi="宋体" w:eastAsia="宋体" w:cs="宋体"/>
                      <w:kern w:val="0"/>
                      <w:sz w:val="18"/>
                      <w:szCs w:val="18"/>
                    </w:rPr>
                  </w:pPr>
                  <w:r>
                    <w:rPr>
                      <w:rFonts w:hint="eastAsia" w:ascii="宋体" w:hAnsi="宋体"/>
                      <w:sz w:val="18"/>
                      <w:szCs w:val="18"/>
                      <w:lang w:eastAsia="zh-CN"/>
                    </w:rPr>
                    <w:t>加油站成品油零售经营许可证、进销台账情况</w:t>
                  </w:r>
                </w:p>
              </w:tc>
              <w:tc>
                <w:tcPr>
                  <w:tcW w:w="6351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auto" w:fill="auto"/>
                  <w:tcMar>
                    <w:top w:w="0" w:type="dxa"/>
                    <w:left w:w="88" w:type="dxa"/>
                    <w:bottom w:w="0" w:type="dxa"/>
                    <w:right w:w="88" w:type="dxa"/>
                  </w:tcMar>
                  <w:vAlign w:val="center"/>
                </w:tcPr>
                <w:p>
                  <w:pPr>
                    <w:widowControl/>
                    <w:spacing w:line="213" w:lineRule="atLeast"/>
                    <w:jc w:val="left"/>
                    <w:rPr>
                      <w:rFonts w:hint="eastAsia" w:ascii="宋体" w:hAnsi="宋体" w:eastAsia="宋体" w:cs="宋体"/>
                      <w:kern w:val="0"/>
                      <w:sz w:val="18"/>
                      <w:szCs w:val="18"/>
                      <w:lang w:eastAsia="zh-CN"/>
                    </w:rPr>
                  </w:pPr>
                  <w:r>
                    <w:rPr>
                      <w:rFonts w:hint="eastAsia" w:ascii="宋体" w:hAnsi="宋体" w:eastAsia="宋体" w:cs="宋体"/>
                      <w:kern w:val="0"/>
                      <w:sz w:val="18"/>
                      <w:szCs w:val="18"/>
                    </w:rPr>
                    <w:t>《山东省成品油零售经营资格管理暂行规定》</w:t>
                  </w:r>
                  <w:r>
                    <w:rPr>
                      <w:rFonts w:hint="eastAsia" w:ascii="宋体" w:hAnsi="宋体" w:eastAsia="宋体" w:cs="宋体"/>
                      <w:kern w:val="0"/>
                      <w:sz w:val="18"/>
                      <w:szCs w:val="18"/>
                      <w:lang w:eastAsia="zh-CN"/>
                    </w:rPr>
                    <w:t>（鲁商字【</w:t>
                  </w:r>
                  <w:r>
                    <w:rPr>
                      <w:rFonts w:hint="eastAsia" w:ascii="宋体" w:hAnsi="宋体" w:eastAsia="宋体" w:cs="宋体"/>
                      <w:kern w:val="0"/>
                      <w:sz w:val="18"/>
                      <w:szCs w:val="18"/>
                      <w:lang w:val="en-US" w:eastAsia="zh-CN"/>
                    </w:rPr>
                    <w:t>2021</w:t>
                  </w:r>
                  <w:r>
                    <w:rPr>
                      <w:rFonts w:hint="eastAsia" w:ascii="宋体" w:hAnsi="宋体" w:eastAsia="宋体" w:cs="宋体"/>
                      <w:kern w:val="0"/>
                      <w:sz w:val="18"/>
                      <w:szCs w:val="18"/>
                      <w:lang w:eastAsia="zh-CN"/>
                    </w:rPr>
                    <w:t>】</w:t>
                  </w:r>
                  <w:r>
                    <w:rPr>
                      <w:rFonts w:hint="eastAsia" w:ascii="宋体" w:hAnsi="宋体" w:eastAsia="宋体" w:cs="宋体"/>
                      <w:kern w:val="0"/>
                      <w:sz w:val="18"/>
                      <w:szCs w:val="18"/>
                      <w:lang w:val="en-US" w:eastAsia="zh-CN"/>
                    </w:rPr>
                    <w:t>81号</w:t>
                  </w:r>
                  <w:r>
                    <w:rPr>
                      <w:rFonts w:hint="eastAsia" w:ascii="宋体" w:hAnsi="宋体" w:eastAsia="宋体" w:cs="宋体"/>
                      <w:kern w:val="0"/>
                      <w:sz w:val="18"/>
                      <w:szCs w:val="18"/>
                      <w:lang w:eastAsia="zh-CN"/>
                    </w:rPr>
                    <w:t>）</w:t>
                  </w:r>
                </w:p>
              </w:tc>
              <w:tc>
                <w:tcPr>
                  <w:tcW w:w="676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auto" w:fill="auto"/>
                  <w:tcMar>
                    <w:top w:w="0" w:type="dxa"/>
                    <w:left w:w="88" w:type="dxa"/>
                    <w:bottom w:w="0" w:type="dxa"/>
                    <w:right w:w="88" w:type="dxa"/>
                  </w:tcMar>
                  <w:vAlign w:val="center"/>
                </w:tcPr>
                <w:p>
                  <w:pPr>
                    <w:widowControl/>
                    <w:spacing w:line="213" w:lineRule="atLeast"/>
                    <w:jc w:val="left"/>
                    <w:rPr>
                      <w:rFonts w:hint="eastAsia" w:ascii="宋体" w:hAnsi="宋体" w:eastAsia="宋体" w:cs="宋体"/>
                      <w:kern w:val="0"/>
                      <w:sz w:val="18"/>
                      <w:szCs w:val="18"/>
                      <w:lang w:eastAsia="zh-CN"/>
                    </w:rPr>
                  </w:pPr>
                  <w:r>
                    <w:rPr>
                      <w:rFonts w:hint="eastAsia" w:ascii="宋体" w:hAnsi="宋体" w:eastAsia="宋体" w:cs="宋体"/>
                      <w:kern w:val="0"/>
                      <w:sz w:val="18"/>
                      <w:szCs w:val="18"/>
                      <w:lang w:eastAsia="zh-CN"/>
                    </w:rPr>
                    <w:t>现场查阅</w:t>
                  </w:r>
                </w:p>
              </w:tc>
              <w:tc>
                <w:tcPr>
                  <w:tcW w:w="1081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auto" w:fill="auto"/>
                  <w:tcMar>
                    <w:top w:w="0" w:type="dxa"/>
                    <w:left w:w="88" w:type="dxa"/>
                    <w:bottom w:w="0" w:type="dxa"/>
                    <w:right w:w="88" w:type="dxa"/>
                  </w:tcMar>
                  <w:vAlign w:val="center"/>
                </w:tcPr>
                <w:p>
                  <w:pPr>
                    <w:widowControl/>
                    <w:spacing w:line="213" w:lineRule="atLeast"/>
                    <w:jc w:val="left"/>
                    <w:rPr>
                      <w:rFonts w:ascii="宋体" w:hAnsi="宋体" w:eastAsia="宋体" w:cs="宋体"/>
                      <w:kern w:val="0"/>
                      <w:sz w:val="18"/>
                      <w:szCs w:val="18"/>
                    </w:rPr>
                  </w:pPr>
                  <w:r>
                    <w:rPr>
                      <w:rFonts w:hint="eastAsia" w:ascii="宋体" w:hAnsi="宋体" w:eastAsia="宋体" w:cs="宋体"/>
                      <w:kern w:val="0"/>
                      <w:sz w:val="18"/>
                      <w:szCs w:val="18"/>
                    </w:rPr>
                    <w:t>按照年度执法计划执行</w:t>
                  </w:r>
                </w:p>
              </w:tc>
              <w:tc>
                <w:tcPr>
                  <w:tcW w:w="676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auto" w:fill="auto"/>
                  <w:tcMar>
                    <w:top w:w="0" w:type="dxa"/>
                    <w:left w:w="88" w:type="dxa"/>
                    <w:bottom w:w="0" w:type="dxa"/>
                    <w:right w:w="88" w:type="dxa"/>
                  </w:tcMar>
                  <w:vAlign w:val="center"/>
                </w:tcPr>
                <w:p>
                  <w:pPr>
                    <w:widowControl/>
                    <w:spacing w:line="213" w:lineRule="atLeast"/>
                    <w:jc w:val="left"/>
                    <w:rPr>
                      <w:rFonts w:hint="eastAsia" w:ascii="宋体" w:hAnsi="宋体" w:eastAsia="宋体" w:cs="宋体"/>
                      <w:kern w:val="0"/>
                      <w:sz w:val="18"/>
                      <w:szCs w:val="18"/>
                      <w:lang w:eastAsia="zh-CN"/>
                    </w:rPr>
                  </w:pPr>
                  <w:r>
                    <w:rPr>
                      <w:rFonts w:hint="eastAsia" w:ascii="宋体" w:hAnsi="宋体" w:eastAsia="宋体" w:cs="宋体"/>
                      <w:kern w:val="0"/>
                      <w:sz w:val="18"/>
                      <w:szCs w:val="18"/>
                    </w:rPr>
                    <w:t>区</w:t>
                  </w:r>
                  <w:r>
                    <w:rPr>
                      <w:rFonts w:hint="eastAsia" w:ascii="宋体" w:hAnsi="宋体" w:eastAsia="宋体" w:cs="宋体"/>
                      <w:kern w:val="0"/>
                      <w:sz w:val="18"/>
                      <w:szCs w:val="18"/>
                      <w:lang w:eastAsia="zh-CN"/>
                    </w:rPr>
                    <w:t>商务局</w:t>
                  </w:r>
                </w:p>
              </w:tc>
              <w:tc>
                <w:tcPr>
                  <w:tcW w:w="781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auto" w:fill="auto"/>
                  <w:tcMar>
                    <w:top w:w="0" w:type="dxa"/>
                    <w:left w:w="88" w:type="dxa"/>
                    <w:bottom w:w="0" w:type="dxa"/>
                    <w:right w:w="88" w:type="dxa"/>
                  </w:tcMar>
                  <w:vAlign w:val="center"/>
                </w:tcPr>
                <w:p>
                  <w:pPr>
                    <w:widowControl/>
                    <w:spacing w:line="213" w:lineRule="atLeast"/>
                    <w:jc w:val="left"/>
                    <w:rPr>
                      <w:rFonts w:ascii="宋体" w:hAnsi="宋体" w:eastAsia="宋体" w:cs="宋体"/>
                      <w:kern w:val="0"/>
                      <w:sz w:val="18"/>
                      <w:szCs w:val="18"/>
                    </w:rPr>
                  </w:pPr>
                  <w:r>
                    <w:rPr>
                      <w:rFonts w:hint="eastAsia" w:ascii="宋体" w:hAnsi="宋体" w:eastAsia="宋体" w:cs="宋体"/>
                      <w:kern w:val="0"/>
                      <w:sz w:val="18"/>
                      <w:szCs w:val="18"/>
                    </w:rPr>
                    <w:t>重点</w:t>
                  </w:r>
                </w:p>
                <w:p>
                  <w:pPr>
                    <w:widowControl/>
                    <w:spacing w:line="213" w:lineRule="atLeast"/>
                    <w:jc w:val="left"/>
                    <w:rPr>
                      <w:rFonts w:ascii="宋体" w:hAnsi="宋体" w:eastAsia="宋体" w:cs="宋体"/>
                      <w:kern w:val="0"/>
                      <w:sz w:val="18"/>
                      <w:szCs w:val="18"/>
                    </w:rPr>
                  </w:pPr>
                  <w:r>
                    <w:rPr>
                      <w:rFonts w:hint="eastAsia" w:ascii="宋体" w:hAnsi="宋体" w:eastAsia="宋体" w:cs="宋体"/>
                      <w:kern w:val="0"/>
                      <w:sz w:val="18"/>
                      <w:szCs w:val="18"/>
                    </w:rPr>
                    <w:t>检查</w:t>
                  </w:r>
                </w:p>
                <w:p>
                  <w:pPr>
                    <w:widowControl/>
                    <w:spacing w:line="213" w:lineRule="atLeast"/>
                    <w:jc w:val="left"/>
                    <w:rPr>
                      <w:rFonts w:ascii="宋体" w:hAnsi="宋体" w:eastAsia="宋体" w:cs="宋体"/>
                      <w:kern w:val="0"/>
                      <w:sz w:val="18"/>
                      <w:szCs w:val="18"/>
                    </w:rPr>
                  </w:pPr>
                  <w:r>
                    <w:rPr>
                      <w:rFonts w:hint="eastAsia" w:ascii="宋体" w:hAnsi="宋体" w:eastAsia="宋体" w:cs="宋体"/>
                      <w:kern w:val="0"/>
                      <w:sz w:val="18"/>
                      <w:szCs w:val="18"/>
                    </w:rPr>
                    <w:t>事项</w:t>
                  </w:r>
                </w:p>
              </w:tc>
              <w:tc>
                <w:tcPr>
                  <w:tcW w:w="721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auto" w:fill="auto"/>
                  <w:tcMar>
                    <w:top w:w="0" w:type="dxa"/>
                    <w:left w:w="88" w:type="dxa"/>
                    <w:bottom w:w="0" w:type="dxa"/>
                    <w:right w:w="88" w:type="dxa"/>
                  </w:tcMar>
                  <w:vAlign w:val="center"/>
                </w:tcPr>
                <w:p>
                  <w:pPr>
                    <w:widowControl/>
                    <w:jc w:val="left"/>
                    <w:rPr>
                      <w:rFonts w:ascii="宋体" w:hAnsi="宋体" w:eastAsia="宋体" w:cs="宋体"/>
                      <w:kern w:val="0"/>
                      <w:sz w:val="18"/>
                      <w:szCs w:val="18"/>
                    </w:rPr>
                  </w:pPr>
                </w:p>
              </w:tc>
            </w:tr>
          </w:tbl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> 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blCellSpacing w:w="15" w:type="dxa"/>
          <w:jc w:val="center"/>
        </w:trPr>
        <w:tc>
          <w:tcPr>
            <w:tcW w:w="4979" w:type="pct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</w:rPr>
            </w:pPr>
          </w:p>
        </w:tc>
      </w:tr>
    </w:tbl>
    <w:p>
      <w:bookmarkStart w:id="0" w:name="_GoBack"/>
      <w:bookmarkEnd w:id="0"/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00007A87" w:usb1="80000000" w:usb2="00000008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00007A87" w:usb1="80000000" w:usb2="00000008" w:usb3="00000000" w:csb0="400001FF" w:csb1="FFFF0000"/>
  </w:font>
  <w:font w:name="黑体">
    <w:panose1 w:val="0201060003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00007A87" w:usb1="80000000" w:usb2="00000008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A00002EF" w:usb1="4000207B" w:usb2="00000000" w:usb3="00000000" w:csb0="2000009F" w:csb1="00000000"/>
  </w:font>
  <w:font w:name="华文仿宋">
    <w:panose1 w:val="02010600040101010101"/>
    <w:charset w:val="86"/>
    <w:family w:val="auto"/>
    <w:pitch w:val="default"/>
    <w:sig w:usb0="00000287" w:usb1="080F0000" w:usb2="00000000" w:usb3="00000000" w:csb0="0004009F" w:csb1="DFD7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8C6DD3"/>
    <w:rsid w:val="00187C8B"/>
    <w:rsid w:val="00781ABA"/>
    <w:rsid w:val="008C6DD3"/>
    <w:rsid w:val="00936467"/>
    <w:rsid w:val="00DD378C"/>
    <w:rsid w:val="337877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name="header"/>
    <w:lsdException w:qFormat="1"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9"/>
    <w:semiHidden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8"/>
    <w:semiHidden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4">
    <w:name w:val="Normal (Web)"/>
    <w:basedOn w:val="1"/>
    <w:unhideWhenUsed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character" w:styleId="7">
    <w:name w:val="Strong"/>
    <w:basedOn w:val="6"/>
    <w:qFormat/>
    <w:uiPriority w:val="22"/>
    <w:rPr>
      <w:b/>
      <w:bCs/>
    </w:rPr>
  </w:style>
  <w:style w:type="character" w:customStyle="1" w:styleId="8">
    <w:name w:val="页眉 Char"/>
    <w:basedOn w:val="6"/>
    <w:link w:val="3"/>
    <w:semiHidden/>
    <w:qFormat/>
    <w:uiPriority w:val="99"/>
    <w:rPr>
      <w:sz w:val="18"/>
      <w:szCs w:val="18"/>
    </w:rPr>
  </w:style>
  <w:style w:type="character" w:customStyle="1" w:styleId="9">
    <w:name w:val="页脚 Char"/>
    <w:basedOn w:val="6"/>
    <w:link w:val="2"/>
    <w:semiHidden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6</Pages>
  <Words>791</Words>
  <Characters>4514</Characters>
  <Lines>37</Lines>
  <Paragraphs>10</Paragraphs>
  <TotalTime>6</TotalTime>
  <ScaleCrop>false</ScaleCrop>
  <LinksUpToDate>false</LinksUpToDate>
  <CharactersWithSpaces>5295</CharactersWithSpaces>
  <Application>WPS Office_11.1.0.11115_F1E327BC-269C-435d-A152-05C5408002CA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2021-10-26T07:28:00Z</dcterms:created>
  <dc:creator>qq</dc:creator>
  <cp:lastModifiedBy>闪光的绿树</cp:lastModifiedBy>
  <dcterms:modified xsi:type="dcterms:W3CDTF">2021-12-07T03:46:02Z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2052-11.1.0.11115</vt:lpwstr>
  </property>
  <property fmtid="{D5CDD505-2E9C-101B-9397-08002B2CF9AE}" pid="3" name="ICV">
    <vt:lpwstr>DD362525859F4CD7B071F9B411601997</vt:lpwstr>
  </property>
</Properties>
</file>