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171B3B">
      <w:pPr>
        <w:keepNext w:val="0"/>
        <w:keepLines w:val="0"/>
        <w:pageBreakBefore w:val="0"/>
        <w:widowControl w:val="0"/>
        <w:kinsoku/>
        <w:wordWrap/>
        <w:overflowPunct/>
        <w:topLinePunct w:val="0"/>
        <w:autoSpaceDE/>
        <w:autoSpaceDN/>
        <w:bidi w:val="0"/>
        <w:adjustRightInd/>
        <w:snapToGrid/>
        <w:spacing w:line="579"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威海临港区创建全省“网络市场监管与</w:t>
      </w:r>
    </w:p>
    <w:p w14:paraId="36B0FAA0">
      <w:pPr>
        <w:keepNext w:val="0"/>
        <w:keepLines w:val="0"/>
        <w:pageBreakBefore w:val="0"/>
        <w:widowControl w:val="0"/>
        <w:kinsoku/>
        <w:wordWrap/>
        <w:overflowPunct/>
        <w:topLinePunct w:val="0"/>
        <w:autoSpaceDE/>
        <w:autoSpaceDN/>
        <w:bidi w:val="0"/>
        <w:adjustRightInd/>
        <w:snapToGrid/>
        <w:spacing w:line="579"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服务示范区”工作方案</w:t>
      </w:r>
    </w:p>
    <w:p w14:paraId="41EFB317">
      <w:pPr>
        <w:keepNext w:val="0"/>
        <w:keepLines w:val="0"/>
        <w:pageBreakBefore w:val="0"/>
        <w:widowControl w:val="0"/>
        <w:tabs>
          <w:tab w:val="left" w:pos="1515"/>
        </w:tabs>
        <w:kinsoku/>
        <w:wordWrap/>
        <w:overflowPunct/>
        <w:topLinePunct w:val="0"/>
        <w:autoSpaceDE/>
        <w:autoSpaceDN/>
        <w:bidi w:val="0"/>
        <w:adjustRightInd w:val="0"/>
        <w:snapToGrid w:val="0"/>
        <w:spacing w:line="579" w:lineRule="exact"/>
        <w:ind w:firstLine="640" w:firstLineChars="200"/>
        <w:jc w:val="center"/>
        <w:textAlignment w:val="auto"/>
        <w:rPr>
          <w:rFonts w:hint="eastAsia" w:cs="Times New Roman"/>
          <w:color w:val="auto"/>
          <w:sz w:val="32"/>
          <w:szCs w:val="32"/>
          <w:lang w:eastAsia="zh-CN"/>
        </w:rPr>
      </w:pPr>
      <w:r>
        <w:rPr>
          <w:rFonts w:hint="eastAsia" w:cs="Times New Roman"/>
          <w:color w:val="auto"/>
          <w:sz w:val="32"/>
          <w:szCs w:val="32"/>
          <w:lang w:eastAsia="zh-CN"/>
        </w:rPr>
        <w:t>（征求意见稿）</w:t>
      </w:r>
    </w:p>
    <w:p w14:paraId="09D2BCC9">
      <w:pPr>
        <w:pStyle w:val="2"/>
        <w:rPr>
          <w:rFonts w:hint="default"/>
          <w:lang w:eastAsia="zh-CN"/>
        </w:rPr>
      </w:pPr>
    </w:p>
    <w:p w14:paraId="54B612B3">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为认真贯彻落实《网络市场监管与服务示范区创建管理办法（试行）》，加快推进</w:t>
      </w:r>
      <w:r>
        <w:rPr>
          <w:rFonts w:hint="default" w:ascii="Times New Roman" w:hAnsi="Times New Roman" w:eastAsia="仿宋_GB2312" w:cs="Times New Roman"/>
          <w:b w:val="0"/>
          <w:bCs w:val="0"/>
          <w:color w:val="auto"/>
          <w:sz w:val="32"/>
          <w:szCs w:val="32"/>
          <w:lang w:eastAsia="zh-CN"/>
        </w:rPr>
        <w:t>威海临港经济技术开发区（以下简称“临港区”）</w:t>
      </w:r>
      <w:r>
        <w:rPr>
          <w:rFonts w:hint="default" w:ascii="Times New Roman" w:hAnsi="Times New Roman" w:eastAsia="仿宋_GB2312" w:cs="Times New Roman"/>
          <w:b w:val="0"/>
          <w:bCs w:val="0"/>
          <w:color w:val="auto"/>
          <w:sz w:val="32"/>
          <w:szCs w:val="32"/>
        </w:rPr>
        <w:t>网络市场制度创新、服务创新和管理创新，营造良好的网络市场秩序，促进</w:t>
      </w:r>
      <w:r>
        <w:rPr>
          <w:rFonts w:hint="default" w:ascii="Times New Roman" w:hAnsi="Times New Roman" w:eastAsia="仿宋_GB2312" w:cs="Times New Roman"/>
          <w:b w:val="0"/>
          <w:bCs w:val="0"/>
          <w:color w:val="auto"/>
          <w:sz w:val="32"/>
          <w:szCs w:val="32"/>
          <w:lang w:eastAsia="zh-CN"/>
        </w:rPr>
        <w:t>区域</w:t>
      </w:r>
      <w:r>
        <w:rPr>
          <w:rFonts w:hint="default" w:ascii="Times New Roman" w:hAnsi="Times New Roman" w:eastAsia="仿宋_GB2312" w:cs="Times New Roman"/>
          <w:b w:val="0"/>
          <w:bCs w:val="0"/>
          <w:color w:val="auto"/>
          <w:sz w:val="32"/>
          <w:szCs w:val="32"/>
        </w:rPr>
        <w:t>电子商务高质量发展，特制定本方案。</w:t>
      </w:r>
    </w:p>
    <w:p w14:paraId="5490413A">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一、指导思想</w:t>
      </w:r>
    </w:p>
    <w:p w14:paraId="196EFF41">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以习近平新时代中国特色社会主义思想为指导，坚持稳中求进工作总基调，立足新发展格局，贯彻新发展理念，以深化供给侧结构性改革为主线，以开展“网络市场监管与服务示范区”创建为抓手，立足</w:t>
      </w:r>
      <w:r>
        <w:rPr>
          <w:rFonts w:hint="default" w:ascii="Times New Roman" w:hAnsi="Times New Roman" w:eastAsia="仿宋_GB2312" w:cs="Times New Roman"/>
          <w:b w:val="0"/>
          <w:bCs w:val="0"/>
          <w:color w:val="auto"/>
          <w:sz w:val="32"/>
          <w:szCs w:val="32"/>
          <w:lang w:eastAsia="zh-CN"/>
        </w:rPr>
        <w:t>临港区</w:t>
      </w:r>
      <w:r>
        <w:rPr>
          <w:rFonts w:hint="default" w:ascii="Times New Roman" w:hAnsi="Times New Roman" w:eastAsia="仿宋_GB2312" w:cs="Times New Roman"/>
          <w:b w:val="0"/>
          <w:bCs w:val="0"/>
          <w:color w:val="auto"/>
          <w:sz w:val="32"/>
          <w:szCs w:val="32"/>
        </w:rPr>
        <w:t>品牌产品丰富、特色产业多样、电商氛围浓厚等优势，</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完善网络市场监管体系，增加网络市场服务供给，结合“互联网+”的新模式，</w:t>
      </w:r>
      <w:r>
        <w:rPr>
          <w:rFonts w:hint="default" w:ascii="Times New Roman" w:hAnsi="Times New Roman" w:eastAsia="仿宋_GB2312" w:cs="Times New Roman"/>
          <w:b w:val="0"/>
          <w:bCs w:val="0"/>
          <w:color w:val="auto"/>
          <w:sz w:val="32"/>
          <w:szCs w:val="32"/>
          <w:lang w:eastAsia="zh-CN"/>
        </w:rPr>
        <w:t>大力</w:t>
      </w:r>
      <w:r>
        <w:rPr>
          <w:rFonts w:hint="default" w:ascii="Times New Roman" w:hAnsi="Times New Roman" w:eastAsia="仿宋_GB2312" w:cs="Times New Roman"/>
          <w:b w:val="0"/>
          <w:bCs w:val="0"/>
          <w:color w:val="auto"/>
          <w:sz w:val="32"/>
          <w:szCs w:val="32"/>
        </w:rPr>
        <w:t>探索网络市场监管和服务的创新实践，努力将</w:t>
      </w:r>
      <w:r>
        <w:rPr>
          <w:rFonts w:hint="default" w:ascii="Times New Roman" w:hAnsi="Times New Roman" w:eastAsia="仿宋_GB2312" w:cs="Times New Roman"/>
          <w:b w:val="0"/>
          <w:bCs w:val="0"/>
          <w:color w:val="auto"/>
          <w:sz w:val="32"/>
          <w:szCs w:val="32"/>
          <w:lang w:eastAsia="zh-CN"/>
        </w:rPr>
        <w:t>临港区</w:t>
      </w:r>
      <w:r>
        <w:rPr>
          <w:rFonts w:hint="default" w:ascii="Times New Roman" w:hAnsi="Times New Roman" w:eastAsia="仿宋_GB2312" w:cs="Times New Roman"/>
          <w:b w:val="0"/>
          <w:bCs w:val="0"/>
          <w:color w:val="auto"/>
          <w:sz w:val="32"/>
          <w:szCs w:val="32"/>
        </w:rPr>
        <w:t>打造</w:t>
      </w:r>
      <w:r>
        <w:rPr>
          <w:rFonts w:hint="default" w:ascii="Times New Roman" w:hAnsi="Times New Roman" w:eastAsia="仿宋_GB2312" w:cs="Times New Roman"/>
          <w:b w:val="0"/>
          <w:bCs w:val="0"/>
          <w:color w:val="auto"/>
          <w:sz w:val="32"/>
          <w:szCs w:val="32"/>
          <w:lang w:eastAsia="zh-CN"/>
        </w:rPr>
        <w:t>为</w:t>
      </w:r>
      <w:r>
        <w:rPr>
          <w:rFonts w:hint="default" w:ascii="Times New Roman" w:hAnsi="Times New Roman" w:eastAsia="仿宋_GB2312" w:cs="Times New Roman"/>
          <w:b w:val="0"/>
          <w:bCs w:val="0"/>
          <w:color w:val="auto"/>
          <w:sz w:val="32"/>
          <w:szCs w:val="32"/>
        </w:rPr>
        <w:t>全省网络市场发展的新高地。</w:t>
      </w:r>
    </w:p>
    <w:p w14:paraId="61889F86">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二、创建目标</w:t>
      </w:r>
    </w:p>
    <w:p w14:paraId="45F7FAAB">
      <w:pPr>
        <w:pStyle w:val="6"/>
        <w:keepNext w:val="0"/>
        <w:keepLines w:val="0"/>
        <w:pageBreakBefore w:val="0"/>
        <w:widowControl w:val="0"/>
        <w:kinsoku/>
        <w:wordWrap/>
        <w:overflowPunct/>
        <w:topLinePunct w:val="0"/>
        <w:autoSpaceDE/>
        <w:autoSpaceDN/>
        <w:bidi w:val="0"/>
        <w:spacing w:before="0" w:after="0" w:afterLines="0" w:line="576" w:lineRule="exact"/>
        <w:ind w:left="0" w:leftChars="0" w:firstLine="640"/>
        <w:textAlignment w:val="auto"/>
        <w:outlineLvl w:val="9"/>
        <w:rPr>
          <w:rFonts w:hint="default" w:ascii="Times New Roman" w:hAnsi="Times New Roman" w:eastAsia="仿宋_GB2312" w:cs="Times New Roman"/>
          <w:b w:val="0"/>
          <w:bCs w:val="0"/>
          <w:color w:val="auto"/>
          <w:kern w:val="0"/>
          <w:sz w:val="32"/>
          <w:szCs w:val="32"/>
          <w:lang w:eastAsia="zh-CN" w:bidi="ar"/>
        </w:rPr>
      </w:pPr>
      <w:r>
        <w:rPr>
          <w:rFonts w:hint="default" w:ascii="Times New Roman" w:hAnsi="Times New Roman" w:eastAsia="仿宋_GB2312" w:cs="Times New Roman"/>
          <w:b w:val="0"/>
          <w:bCs w:val="0"/>
          <w:color w:val="auto"/>
          <w:sz w:val="32"/>
          <w:szCs w:val="32"/>
        </w:rPr>
        <w:t>力争到202</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年，临港区网络市场监管与服务示范区的</w:t>
      </w:r>
      <w:r>
        <w:rPr>
          <w:rFonts w:hint="default" w:ascii="Times New Roman" w:hAnsi="Times New Roman" w:eastAsia="仿宋_GB2312" w:cs="Times New Roman"/>
          <w:b w:val="0"/>
          <w:bCs w:val="0"/>
          <w:color w:val="auto"/>
          <w:sz w:val="32"/>
          <w:szCs w:val="32"/>
          <w:lang w:eastAsia="zh-CN"/>
        </w:rPr>
        <w:t>体系进一步完善，</w:t>
      </w:r>
      <w:r>
        <w:rPr>
          <w:rFonts w:hint="default" w:ascii="Times New Roman" w:hAnsi="Times New Roman" w:eastAsia="仿宋_GB2312" w:cs="Times New Roman"/>
          <w:b w:val="0"/>
          <w:bCs w:val="0"/>
          <w:color w:val="auto"/>
          <w:sz w:val="32"/>
          <w:szCs w:val="32"/>
        </w:rPr>
        <w:t>网络市场秩序和营商环境</w:t>
      </w:r>
      <w:r>
        <w:rPr>
          <w:rFonts w:hint="default" w:ascii="Times New Roman" w:hAnsi="Times New Roman" w:eastAsia="仿宋_GB2312" w:cs="Times New Roman"/>
          <w:b w:val="0"/>
          <w:bCs w:val="0"/>
          <w:color w:val="auto"/>
          <w:sz w:val="32"/>
          <w:szCs w:val="32"/>
          <w:lang w:eastAsia="zh-CN"/>
        </w:rPr>
        <w:t>进一步优化，</w:t>
      </w:r>
      <w:r>
        <w:rPr>
          <w:rFonts w:hint="default" w:ascii="Times New Roman" w:hAnsi="Times New Roman" w:eastAsia="仿宋_GB2312" w:cs="Times New Roman"/>
          <w:b w:val="0"/>
          <w:bCs w:val="0"/>
          <w:color w:val="auto"/>
          <w:sz w:val="32"/>
          <w:szCs w:val="32"/>
        </w:rPr>
        <w:t>网络市场创新发展和高效监管</w:t>
      </w:r>
      <w:r>
        <w:rPr>
          <w:rFonts w:hint="default" w:ascii="Times New Roman" w:hAnsi="Times New Roman" w:eastAsia="仿宋_GB2312" w:cs="Times New Roman"/>
          <w:b w:val="0"/>
          <w:bCs w:val="0"/>
          <w:color w:val="auto"/>
          <w:sz w:val="32"/>
          <w:szCs w:val="32"/>
          <w:lang w:eastAsia="zh-CN"/>
        </w:rPr>
        <w:t>成效更加凸显。</w:t>
      </w:r>
    </w:p>
    <w:p w14:paraId="02D16154">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（一）网络市场监管体系</w:t>
      </w:r>
      <w:r>
        <w:rPr>
          <w:rFonts w:hint="default" w:ascii="Times New Roman" w:hAnsi="Times New Roman" w:eastAsia="楷体_GB2312" w:cs="Times New Roman"/>
          <w:b w:val="0"/>
          <w:bCs w:val="0"/>
          <w:color w:val="auto"/>
          <w:sz w:val="32"/>
          <w:szCs w:val="32"/>
          <w:lang w:eastAsia="zh-CN"/>
        </w:rPr>
        <w:t>进一步</w:t>
      </w:r>
      <w:r>
        <w:rPr>
          <w:rFonts w:hint="default" w:ascii="Times New Roman" w:hAnsi="Times New Roman" w:eastAsia="楷体_GB2312" w:cs="Times New Roman"/>
          <w:b w:val="0"/>
          <w:bCs w:val="0"/>
          <w:color w:val="auto"/>
          <w:sz w:val="32"/>
          <w:szCs w:val="32"/>
        </w:rPr>
        <w:t>健全</w:t>
      </w:r>
    </w:p>
    <w:p w14:paraId="5F606B98">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网络市场监管手段科技化程度进一步提高，智慧监管</w:t>
      </w:r>
      <w:r>
        <w:rPr>
          <w:rFonts w:hint="default" w:ascii="Times New Roman" w:hAnsi="Times New Roman" w:eastAsia="仿宋_GB2312" w:cs="Times New Roman"/>
          <w:b w:val="0"/>
          <w:bCs w:val="0"/>
          <w:color w:val="auto"/>
          <w:sz w:val="32"/>
          <w:szCs w:val="32"/>
          <w:lang w:eastAsia="zh-CN"/>
        </w:rPr>
        <w:t>应用范围更广</w:t>
      </w:r>
      <w:r>
        <w:rPr>
          <w:rFonts w:hint="default" w:ascii="Times New Roman" w:hAnsi="Times New Roman" w:eastAsia="仿宋_GB2312" w:cs="Times New Roman"/>
          <w:b w:val="0"/>
          <w:bCs w:val="0"/>
          <w:color w:val="auto"/>
          <w:sz w:val="32"/>
          <w:szCs w:val="32"/>
        </w:rPr>
        <w:t>，先进执法设备</w:t>
      </w:r>
      <w:r>
        <w:rPr>
          <w:rFonts w:hint="default" w:ascii="Times New Roman" w:hAnsi="Times New Roman" w:eastAsia="仿宋_GB2312" w:cs="Times New Roman"/>
          <w:b w:val="0"/>
          <w:bCs w:val="0"/>
          <w:color w:val="auto"/>
          <w:sz w:val="32"/>
          <w:szCs w:val="32"/>
          <w:lang w:eastAsia="zh-CN"/>
        </w:rPr>
        <w:t>普及率更高，</w:t>
      </w:r>
      <w:r>
        <w:rPr>
          <w:rFonts w:hint="default" w:ascii="Times New Roman" w:hAnsi="Times New Roman" w:eastAsia="仿宋_GB2312" w:cs="Times New Roman"/>
          <w:b w:val="0"/>
          <w:bCs w:val="0"/>
          <w:color w:val="auto"/>
          <w:sz w:val="32"/>
          <w:szCs w:val="32"/>
        </w:rPr>
        <w:t>信息化、新科技在网络市场监管中的作用</w:t>
      </w:r>
      <w:r>
        <w:rPr>
          <w:rFonts w:hint="default" w:ascii="Times New Roman" w:hAnsi="Times New Roman" w:eastAsia="仿宋_GB2312" w:cs="Times New Roman"/>
          <w:b w:val="0"/>
          <w:bCs w:val="0"/>
          <w:color w:val="auto"/>
          <w:sz w:val="32"/>
          <w:szCs w:val="32"/>
          <w:lang w:eastAsia="zh-CN"/>
        </w:rPr>
        <w:t>更加凸显；</w:t>
      </w:r>
      <w:r>
        <w:rPr>
          <w:rFonts w:hint="default" w:ascii="Times New Roman" w:hAnsi="Times New Roman" w:eastAsia="仿宋_GB2312" w:cs="Times New Roman"/>
          <w:b w:val="0"/>
          <w:bCs w:val="0"/>
          <w:color w:val="auto"/>
          <w:sz w:val="32"/>
          <w:szCs w:val="32"/>
        </w:rPr>
        <w:t>信用监管</w:t>
      </w:r>
      <w:r>
        <w:rPr>
          <w:rFonts w:hint="default" w:ascii="Times New Roman" w:hAnsi="Times New Roman" w:eastAsia="仿宋_GB2312" w:cs="Times New Roman"/>
          <w:b w:val="0"/>
          <w:bCs w:val="0"/>
          <w:color w:val="auto"/>
          <w:sz w:val="32"/>
          <w:szCs w:val="32"/>
          <w:lang w:eastAsia="zh-CN"/>
        </w:rPr>
        <w:t>水平进一步提升</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完善升级</w:t>
      </w:r>
      <w:r>
        <w:rPr>
          <w:rFonts w:hint="default" w:ascii="Times New Roman" w:hAnsi="Times New Roman" w:eastAsia="仿宋_GB2312" w:cs="Times New Roman"/>
          <w:b w:val="0"/>
          <w:bCs w:val="0"/>
          <w:color w:val="auto"/>
          <w:sz w:val="32"/>
          <w:szCs w:val="32"/>
        </w:rPr>
        <w:t>信用信息共享政务平台，进一步推</w:t>
      </w:r>
      <w:r>
        <w:rPr>
          <w:rFonts w:hint="default" w:ascii="Times New Roman" w:hAnsi="Times New Roman" w:eastAsia="仿宋_GB2312" w:cs="Times New Roman"/>
          <w:b w:val="0"/>
          <w:bCs w:val="0"/>
          <w:color w:val="auto"/>
          <w:sz w:val="32"/>
          <w:szCs w:val="32"/>
          <w:lang w:eastAsia="zh-CN"/>
        </w:rPr>
        <w:t>动</w:t>
      </w:r>
      <w:r>
        <w:rPr>
          <w:rFonts w:hint="default" w:ascii="Times New Roman" w:hAnsi="Times New Roman" w:eastAsia="仿宋_GB2312" w:cs="Times New Roman"/>
          <w:b w:val="0"/>
          <w:bCs w:val="0"/>
          <w:color w:val="auto"/>
          <w:sz w:val="32"/>
          <w:szCs w:val="32"/>
        </w:rPr>
        <w:t>信用信息归集分享、信用信息公示和信用修复等工作</w:t>
      </w:r>
      <w:r>
        <w:rPr>
          <w:rFonts w:hint="default" w:ascii="Times New Roman" w:hAnsi="Times New Roman" w:eastAsia="仿宋_GB2312" w:cs="Times New Roman"/>
          <w:b w:val="0"/>
          <w:bCs w:val="0"/>
          <w:color w:val="auto"/>
          <w:sz w:val="32"/>
          <w:szCs w:val="32"/>
          <w:lang w:eastAsia="zh-CN"/>
        </w:rPr>
        <w:t>有效开展</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促进网络市场主体诚信经营</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协同监管</w:t>
      </w:r>
      <w:r>
        <w:rPr>
          <w:rFonts w:hint="default" w:ascii="Times New Roman" w:hAnsi="Times New Roman" w:eastAsia="仿宋_GB2312" w:cs="Times New Roman"/>
          <w:b w:val="0"/>
          <w:bCs w:val="0"/>
          <w:color w:val="auto"/>
          <w:sz w:val="32"/>
          <w:szCs w:val="32"/>
          <w:lang w:eastAsia="zh-CN"/>
        </w:rPr>
        <w:t>工作成效更加凸显</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扎实</w:t>
      </w:r>
      <w:r>
        <w:rPr>
          <w:rFonts w:hint="default" w:ascii="Times New Roman" w:hAnsi="Times New Roman" w:eastAsia="仿宋_GB2312" w:cs="Times New Roman"/>
          <w:b w:val="0"/>
          <w:bCs w:val="0"/>
          <w:color w:val="auto"/>
          <w:sz w:val="32"/>
          <w:szCs w:val="32"/>
        </w:rPr>
        <w:t>推进政府与平台企业、行业组织和社会各界的沟通协作，</w:t>
      </w:r>
      <w:r>
        <w:rPr>
          <w:rFonts w:hint="default" w:ascii="Times New Roman" w:hAnsi="Times New Roman" w:eastAsia="仿宋_GB2312" w:cs="Times New Roman"/>
          <w:b w:val="0"/>
          <w:bCs w:val="0"/>
          <w:color w:val="auto"/>
          <w:sz w:val="32"/>
          <w:szCs w:val="32"/>
          <w:lang w:eastAsia="zh-CN"/>
        </w:rPr>
        <w:t>促进</w:t>
      </w:r>
      <w:r>
        <w:rPr>
          <w:rFonts w:hint="default" w:ascii="Times New Roman" w:hAnsi="Times New Roman" w:eastAsia="仿宋_GB2312" w:cs="Times New Roman"/>
          <w:b w:val="0"/>
          <w:bCs w:val="0"/>
          <w:color w:val="auto"/>
          <w:sz w:val="32"/>
          <w:szCs w:val="32"/>
        </w:rPr>
        <w:t>网络市场监督服务</w:t>
      </w:r>
      <w:r>
        <w:rPr>
          <w:rFonts w:hint="default" w:ascii="Times New Roman" w:hAnsi="Times New Roman" w:eastAsia="仿宋_GB2312" w:cs="Times New Roman"/>
          <w:b w:val="0"/>
          <w:bCs w:val="0"/>
          <w:color w:val="auto"/>
          <w:sz w:val="32"/>
          <w:szCs w:val="32"/>
          <w:lang w:eastAsia="zh-CN"/>
        </w:rPr>
        <w:t>联动水平层级更高、成效更好</w:t>
      </w:r>
      <w:r>
        <w:rPr>
          <w:rFonts w:hint="default" w:ascii="Times New Roman" w:hAnsi="Times New Roman" w:eastAsia="仿宋_GB2312" w:cs="Times New Roman"/>
          <w:b w:val="0"/>
          <w:bCs w:val="0"/>
          <w:color w:val="auto"/>
          <w:sz w:val="32"/>
          <w:szCs w:val="32"/>
        </w:rPr>
        <w:t>。</w:t>
      </w:r>
    </w:p>
    <w:p w14:paraId="6106EFFB">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rPr>
        <w:t>（二）网络市场服务机制创新</w:t>
      </w:r>
      <w:r>
        <w:rPr>
          <w:rFonts w:hint="default" w:ascii="Times New Roman" w:hAnsi="Times New Roman" w:eastAsia="楷体_GB2312" w:cs="Times New Roman"/>
          <w:b w:val="0"/>
          <w:bCs w:val="0"/>
          <w:color w:val="auto"/>
          <w:sz w:val="32"/>
          <w:szCs w:val="32"/>
          <w:lang w:eastAsia="zh-CN"/>
        </w:rPr>
        <w:t>水平进一步提升</w:t>
      </w:r>
    </w:p>
    <w:p w14:paraId="3482148B">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扎实抓好</w:t>
      </w:r>
      <w:r>
        <w:rPr>
          <w:rFonts w:hint="default" w:ascii="Times New Roman" w:hAnsi="Times New Roman" w:eastAsia="仿宋_GB2312" w:cs="Times New Roman"/>
          <w:b w:val="0"/>
          <w:bCs w:val="0"/>
          <w:color w:val="auto"/>
          <w:sz w:val="32"/>
          <w:szCs w:val="32"/>
        </w:rPr>
        <w:t>网络市场监管服务创新</w:t>
      </w:r>
      <w:r>
        <w:rPr>
          <w:rFonts w:hint="default" w:ascii="Times New Roman" w:hAnsi="Times New Roman" w:eastAsia="仿宋_GB2312" w:cs="Times New Roman"/>
          <w:b w:val="0"/>
          <w:bCs w:val="0"/>
          <w:color w:val="auto"/>
          <w:sz w:val="32"/>
          <w:szCs w:val="32"/>
          <w:lang w:eastAsia="zh-CN"/>
        </w:rPr>
        <w:t>系列工作</w:t>
      </w:r>
      <w:r>
        <w:rPr>
          <w:rFonts w:hint="default" w:ascii="Times New Roman" w:hAnsi="Times New Roman" w:eastAsia="仿宋_GB2312" w:cs="Times New Roman"/>
          <w:b w:val="0"/>
          <w:bCs w:val="0"/>
          <w:color w:val="auto"/>
          <w:sz w:val="32"/>
          <w:szCs w:val="32"/>
        </w:rPr>
        <w:t>，采用“互联网”+服务的方式，</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完善网络市场服务体系，持续推出便民利企举措，</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提供精准高效服务，</w:t>
      </w:r>
      <w:r>
        <w:rPr>
          <w:rFonts w:hint="default" w:ascii="Times New Roman" w:hAnsi="Times New Roman" w:eastAsia="仿宋_GB2312" w:cs="Times New Roman"/>
          <w:b w:val="0"/>
          <w:bCs w:val="0"/>
          <w:color w:val="auto"/>
          <w:sz w:val="32"/>
          <w:szCs w:val="32"/>
          <w:lang w:eastAsia="zh-CN"/>
        </w:rPr>
        <w:t>切实增强</w:t>
      </w:r>
      <w:r>
        <w:rPr>
          <w:rFonts w:hint="default" w:ascii="Times New Roman" w:hAnsi="Times New Roman" w:eastAsia="仿宋_GB2312" w:cs="Times New Roman"/>
          <w:b w:val="0"/>
          <w:bCs w:val="0"/>
          <w:color w:val="auto"/>
          <w:sz w:val="32"/>
          <w:szCs w:val="32"/>
        </w:rPr>
        <w:t>网络交易经营者、从业人员的权益保护，进一步增强市场主体信心，</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激发市场主体活力，促进全区网络市场经济的</w:t>
      </w:r>
      <w:r>
        <w:rPr>
          <w:rFonts w:hint="default" w:ascii="Times New Roman" w:hAnsi="Times New Roman" w:eastAsia="仿宋_GB2312" w:cs="Times New Roman"/>
          <w:b w:val="0"/>
          <w:bCs w:val="0"/>
          <w:color w:val="auto"/>
          <w:sz w:val="32"/>
          <w:szCs w:val="32"/>
          <w:lang w:eastAsia="zh-CN"/>
        </w:rPr>
        <w:t>长效健康</w:t>
      </w:r>
      <w:r>
        <w:rPr>
          <w:rFonts w:hint="default" w:ascii="Times New Roman" w:hAnsi="Times New Roman" w:eastAsia="仿宋_GB2312" w:cs="Times New Roman"/>
          <w:b w:val="0"/>
          <w:bCs w:val="0"/>
          <w:color w:val="auto"/>
          <w:sz w:val="32"/>
          <w:szCs w:val="32"/>
        </w:rPr>
        <w:t>发展。</w:t>
      </w:r>
    </w:p>
    <w:p w14:paraId="186D1998">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（三）</w:t>
      </w:r>
      <w:r>
        <w:rPr>
          <w:rFonts w:hint="default" w:ascii="Times New Roman" w:hAnsi="Times New Roman" w:eastAsia="楷体_GB2312" w:cs="Times New Roman"/>
          <w:b w:val="0"/>
          <w:bCs w:val="0"/>
          <w:color w:val="auto"/>
          <w:sz w:val="32"/>
          <w:szCs w:val="32"/>
          <w:lang w:eastAsia="zh-CN"/>
        </w:rPr>
        <w:t>加速培育一批</w:t>
      </w:r>
      <w:r>
        <w:rPr>
          <w:rFonts w:hint="default" w:ascii="Times New Roman" w:hAnsi="Times New Roman" w:eastAsia="楷体_GB2312" w:cs="Times New Roman"/>
          <w:b w:val="0"/>
          <w:bCs w:val="0"/>
          <w:color w:val="auto"/>
          <w:sz w:val="32"/>
          <w:szCs w:val="32"/>
        </w:rPr>
        <w:t>电商领域新增长点</w:t>
      </w:r>
    </w:p>
    <w:p w14:paraId="0FA15087">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kern w:val="0"/>
          <w:sz w:val="32"/>
          <w:szCs w:val="32"/>
          <w:lang w:bidi="ar"/>
        </w:rPr>
      </w:pPr>
      <w:r>
        <w:rPr>
          <w:rFonts w:hint="default" w:ascii="Times New Roman" w:hAnsi="Times New Roman" w:eastAsia="仿宋_GB2312" w:cs="Times New Roman"/>
          <w:b w:val="0"/>
          <w:bCs w:val="0"/>
          <w:color w:val="auto"/>
          <w:sz w:val="32"/>
          <w:szCs w:val="32"/>
        </w:rPr>
        <w:t>目前，我区已有特色电子商务平台1个，</w:t>
      </w:r>
      <w:r>
        <w:rPr>
          <w:rFonts w:hint="default" w:ascii="Times New Roman" w:hAnsi="Times New Roman" w:eastAsia="仿宋_GB2312" w:cs="Times New Roman"/>
          <w:b w:val="0"/>
          <w:bCs w:val="0"/>
          <w:color w:val="auto"/>
          <w:sz w:val="32"/>
          <w:szCs w:val="32"/>
          <w:lang w:eastAsia="zh-CN"/>
        </w:rPr>
        <w:t>我区将以此为基础，</w:t>
      </w:r>
      <w:r>
        <w:rPr>
          <w:rFonts w:hint="default" w:ascii="Times New Roman" w:hAnsi="Times New Roman" w:eastAsia="仿宋_GB2312" w:cs="Times New Roman"/>
          <w:b w:val="0"/>
          <w:bCs w:val="0"/>
          <w:color w:val="auto"/>
          <w:sz w:val="32"/>
          <w:szCs w:val="32"/>
        </w:rPr>
        <w:t>持续促进网络市场经济发展</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到2025年，全区网络零售额力争实现突破1</w:t>
      </w:r>
      <w:r>
        <w:rPr>
          <w:rFonts w:hint="eastAsia" w:ascii="Times New Roman" w:hAnsi="Times New Roman" w:eastAsia="仿宋_GB2312" w:cs="Times New Roman"/>
          <w:b w:val="0"/>
          <w:bCs w:val="0"/>
          <w:color w:val="auto"/>
          <w:sz w:val="32"/>
          <w:szCs w:val="32"/>
          <w:lang w:val="en-US" w:eastAsia="zh-CN"/>
        </w:rPr>
        <w:t>0</w:t>
      </w:r>
      <w:r>
        <w:rPr>
          <w:rFonts w:hint="default" w:ascii="Times New Roman" w:hAnsi="Times New Roman" w:eastAsia="仿宋_GB2312" w:cs="Times New Roman"/>
          <w:b w:val="0"/>
          <w:bCs w:val="0"/>
          <w:color w:val="auto"/>
          <w:sz w:val="32"/>
          <w:szCs w:val="32"/>
        </w:rPr>
        <w:t>亿元；全区网络市场主体数量、网络市场零售额、网络市场消费贡献度、快递业务同比增速超过全省增速；网络交易经营者数量占市场主体比重达到1</w:t>
      </w:r>
      <w:r>
        <w:rPr>
          <w:rFonts w:hint="eastAsia" w:ascii="Times New Roman" w:hAnsi="Times New Roman" w:eastAsia="仿宋_GB2312" w:cs="Times New Roman"/>
          <w:b w:val="0"/>
          <w:bCs w:val="0"/>
          <w:color w:val="auto"/>
          <w:sz w:val="32"/>
          <w:szCs w:val="32"/>
          <w:lang w:val="en-US" w:eastAsia="zh-CN"/>
        </w:rPr>
        <w:t>0</w:t>
      </w:r>
      <w:r>
        <w:rPr>
          <w:rFonts w:hint="default" w:ascii="Times New Roman" w:hAnsi="Times New Roman" w:eastAsia="仿宋_GB2312" w:cs="Times New Roman"/>
          <w:b w:val="0"/>
          <w:bCs w:val="0"/>
          <w:color w:val="auto"/>
          <w:sz w:val="32"/>
          <w:szCs w:val="32"/>
        </w:rPr>
        <w:t>%以上；新增年度电子商务销售额5千万元以上的网络交易经营者数量达到</w:t>
      </w:r>
      <w:r>
        <w:rPr>
          <w:rFonts w:hint="eastAsia"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家以上；存续时间2年以上的网络交易经营者占比达到</w:t>
      </w:r>
      <w:r>
        <w:rPr>
          <w:rFonts w:hint="eastAsia"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0%以上；网络市场就业、税收贡献度占比达到5%以上</w:t>
      </w:r>
      <w:r>
        <w:rPr>
          <w:rFonts w:hint="default" w:ascii="Times New Roman" w:hAnsi="Times New Roman" w:eastAsia="仿宋_GB2312" w:cs="Times New Roman"/>
          <w:b w:val="0"/>
          <w:bCs w:val="0"/>
          <w:color w:val="auto"/>
          <w:kern w:val="0"/>
          <w:sz w:val="32"/>
          <w:szCs w:val="32"/>
          <w:lang w:bidi="ar"/>
        </w:rPr>
        <w:t>。</w:t>
      </w:r>
    </w:p>
    <w:p w14:paraId="19D9BE75">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三、主要任务</w:t>
      </w:r>
    </w:p>
    <w:p w14:paraId="7B883F6D">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（一）</w:t>
      </w:r>
      <w:r>
        <w:rPr>
          <w:rFonts w:hint="default" w:ascii="Times New Roman" w:hAnsi="Times New Roman" w:eastAsia="楷体_GB2312" w:cs="Times New Roman"/>
          <w:b w:val="0"/>
          <w:bCs w:val="0"/>
          <w:color w:val="auto"/>
          <w:sz w:val="32"/>
          <w:szCs w:val="32"/>
          <w:lang w:eastAsia="zh-CN"/>
        </w:rPr>
        <w:t>进一步</w:t>
      </w:r>
      <w:r>
        <w:rPr>
          <w:rFonts w:hint="default" w:ascii="Times New Roman" w:hAnsi="Times New Roman" w:eastAsia="楷体_GB2312" w:cs="Times New Roman"/>
          <w:b w:val="0"/>
          <w:bCs w:val="0"/>
          <w:color w:val="auto"/>
          <w:sz w:val="32"/>
          <w:szCs w:val="32"/>
        </w:rPr>
        <w:t>完善网络市场监管体系</w:t>
      </w:r>
    </w:p>
    <w:p w14:paraId="4522FBFC">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一是</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强化智慧监管。</w:t>
      </w:r>
      <w:r>
        <w:rPr>
          <w:rFonts w:hint="default" w:ascii="Times New Roman" w:hAnsi="Times New Roman" w:eastAsia="仿宋_GB2312" w:cs="Times New Roman"/>
          <w:b w:val="0"/>
          <w:bCs w:val="0"/>
          <w:color w:val="auto"/>
          <w:sz w:val="32"/>
          <w:szCs w:val="32"/>
          <w:lang w:eastAsia="zh-CN"/>
        </w:rPr>
        <w:t>以</w:t>
      </w:r>
      <w:r>
        <w:rPr>
          <w:rFonts w:hint="default" w:ascii="Times New Roman" w:hAnsi="Times New Roman" w:eastAsia="仿宋_GB2312" w:cs="Times New Roman"/>
          <w:b w:val="0"/>
          <w:bCs w:val="0"/>
          <w:color w:val="auto"/>
          <w:sz w:val="32"/>
          <w:szCs w:val="32"/>
        </w:rPr>
        <w:t>升级网络市场监管平台</w:t>
      </w:r>
      <w:r>
        <w:rPr>
          <w:rFonts w:hint="default" w:ascii="Times New Roman" w:hAnsi="Times New Roman" w:eastAsia="仿宋_GB2312" w:cs="Times New Roman"/>
          <w:b w:val="0"/>
          <w:bCs w:val="0"/>
          <w:color w:val="auto"/>
          <w:sz w:val="32"/>
          <w:szCs w:val="32"/>
          <w:lang w:eastAsia="zh-CN"/>
        </w:rPr>
        <w:t>为抓手</w:t>
      </w:r>
      <w:r>
        <w:rPr>
          <w:rFonts w:hint="default" w:ascii="Times New Roman" w:hAnsi="Times New Roman" w:eastAsia="仿宋_GB2312" w:cs="Times New Roman"/>
          <w:b w:val="0"/>
          <w:bCs w:val="0"/>
          <w:color w:val="auto"/>
          <w:sz w:val="32"/>
          <w:szCs w:val="32"/>
        </w:rPr>
        <w:t>，运用大数据技术，</w:t>
      </w:r>
      <w:r>
        <w:rPr>
          <w:rFonts w:hint="default" w:ascii="Times New Roman" w:hAnsi="Times New Roman" w:eastAsia="仿宋_GB2312" w:cs="Times New Roman"/>
          <w:b w:val="0"/>
          <w:bCs w:val="0"/>
          <w:color w:val="auto"/>
          <w:sz w:val="32"/>
          <w:szCs w:val="32"/>
          <w:lang w:eastAsia="zh-CN"/>
        </w:rPr>
        <w:t>更好</w:t>
      </w:r>
      <w:r>
        <w:rPr>
          <w:rFonts w:hint="default" w:ascii="Times New Roman" w:hAnsi="Times New Roman" w:eastAsia="仿宋_GB2312" w:cs="Times New Roman"/>
          <w:b w:val="0"/>
          <w:bCs w:val="0"/>
          <w:color w:val="auto"/>
          <w:sz w:val="32"/>
          <w:szCs w:val="32"/>
        </w:rPr>
        <w:t>归集和分析电商平台经营者的主体数据、经营数据，对监管对象的行为和市场动态进行监测和分析，</w:t>
      </w:r>
      <w:r>
        <w:rPr>
          <w:rFonts w:hint="default" w:ascii="Times New Roman" w:hAnsi="Times New Roman" w:eastAsia="仿宋_GB2312" w:cs="Times New Roman"/>
          <w:b w:val="0"/>
          <w:bCs w:val="0"/>
          <w:color w:val="auto"/>
          <w:sz w:val="32"/>
          <w:szCs w:val="32"/>
          <w:lang w:eastAsia="zh-CN"/>
        </w:rPr>
        <w:t>更好</w:t>
      </w:r>
      <w:r>
        <w:rPr>
          <w:rFonts w:hint="default" w:ascii="Times New Roman" w:hAnsi="Times New Roman" w:eastAsia="仿宋_GB2312" w:cs="Times New Roman"/>
          <w:b w:val="0"/>
          <w:bCs w:val="0"/>
          <w:color w:val="auto"/>
          <w:sz w:val="32"/>
          <w:szCs w:val="32"/>
        </w:rPr>
        <w:t>识别和预测潜在的风险和问题，监管方法</w:t>
      </w:r>
      <w:r>
        <w:rPr>
          <w:rFonts w:hint="default" w:ascii="Times New Roman" w:hAnsi="Times New Roman" w:eastAsia="仿宋_GB2312" w:cs="Times New Roman"/>
          <w:b w:val="0"/>
          <w:bCs w:val="0"/>
          <w:color w:val="auto"/>
          <w:sz w:val="32"/>
          <w:szCs w:val="32"/>
          <w:lang w:eastAsia="zh-CN"/>
        </w:rPr>
        <w:t>更加</w:t>
      </w:r>
      <w:r>
        <w:rPr>
          <w:rFonts w:hint="default" w:ascii="Times New Roman" w:hAnsi="Times New Roman" w:eastAsia="仿宋_GB2312" w:cs="Times New Roman"/>
          <w:b w:val="0"/>
          <w:bCs w:val="0"/>
          <w:color w:val="auto"/>
          <w:sz w:val="32"/>
          <w:szCs w:val="32"/>
        </w:rPr>
        <w:t>精准有效，监管效率和准确</w:t>
      </w:r>
      <w:r>
        <w:rPr>
          <w:rFonts w:hint="default" w:ascii="Times New Roman" w:hAnsi="Times New Roman" w:eastAsia="仿宋_GB2312" w:cs="Times New Roman"/>
          <w:b w:val="0"/>
          <w:bCs w:val="0"/>
          <w:color w:val="auto"/>
          <w:sz w:val="32"/>
          <w:szCs w:val="32"/>
          <w:lang w:eastAsia="zh-CN"/>
        </w:rPr>
        <w:t>性显著提升</w:t>
      </w:r>
      <w:r>
        <w:rPr>
          <w:rFonts w:hint="default" w:ascii="Times New Roman" w:hAnsi="Times New Roman" w:eastAsia="仿宋_GB2312" w:cs="Times New Roman"/>
          <w:b w:val="0"/>
          <w:bCs w:val="0"/>
          <w:color w:val="auto"/>
          <w:sz w:val="32"/>
          <w:szCs w:val="32"/>
        </w:rPr>
        <w:t>。</w:t>
      </w:r>
    </w:p>
    <w:p w14:paraId="3B7030F4">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二是</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健全信用监管。</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完善信息归集共享机制</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强化跨地区、跨部门、跨层级信息归集共享，健全信息归集标准规范，建立信用记录核查机制</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完善信用约束激励机制</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推行守信联合激励机制，完善失信市场主体信用修复机制，同时，健全失信惩戒</w:t>
      </w:r>
      <w:r>
        <w:rPr>
          <w:rFonts w:hint="default" w:ascii="Times New Roman" w:hAnsi="Times New Roman" w:eastAsia="仿宋_GB2312" w:cs="Times New Roman"/>
          <w:b w:val="0"/>
          <w:bCs w:val="0"/>
          <w:color w:val="auto"/>
          <w:sz w:val="32"/>
          <w:szCs w:val="32"/>
          <w:lang w:eastAsia="zh-CN"/>
        </w:rPr>
        <w:t>相关</w:t>
      </w:r>
      <w:r>
        <w:rPr>
          <w:rFonts w:hint="default" w:ascii="Times New Roman" w:hAnsi="Times New Roman" w:eastAsia="仿宋_GB2312" w:cs="Times New Roman"/>
          <w:b w:val="0"/>
          <w:bCs w:val="0"/>
          <w:color w:val="auto"/>
          <w:sz w:val="32"/>
          <w:szCs w:val="32"/>
        </w:rPr>
        <w:t>机制</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完善信用风险分类管理机制。明确企业信用风险分类标准，根据企业信用等级确定差异化的监管措施，提高监管及时性、精准性、有效性。</w:t>
      </w:r>
    </w:p>
    <w:p w14:paraId="34310074">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三是</w:t>
      </w:r>
      <w:r>
        <w:rPr>
          <w:rFonts w:hint="default" w:ascii="Times New Roman" w:hAnsi="Times New Roman" w:eastAsia="仿宋_GB2312" w:cs="Times New Roman"/>
          <w:b w:val="0"/>
          <w:bCs w:val="0"/>
          <w:color w:val="auto"/>
          <w:sz w:val="32"/>
          <w:szCs w:val="32"/>
          <w:lang w:eastAsia="zh-CN"/>
        </w:rPr>
        <w:t>着力</w:t>
      </w:r>
      <w:r>
        <w:rPr>
          <w:rFonts w:hint="default" w:ascii="Times New Roman" w:hAnsi="Times New Roman" w:eastAsia="仿宋_GB2312" w:cs="Times New Roman"/>
          <w:b w:val="0"/>
          <w:bCs w:val="0"/>
          <w:color w:val="auto"/>
          <w:sz w:val="32"/>
          <w:szCs w:val="32"/>
        </w:rPr>
        <w:t>推进协同监管。加强各部门之间的信息共享和协作，充分发挥各部门的专业优势，提高办案效率和质量；针对重点监管领域，</w:t>
      </w:r>
      <w:r>
        <w:rPr>
          <w:rFonts w:hint="default" w:ascii="Times New Roman" w:hAnsi="Times New Roman" w:eastAsia="仿宋_GB2312" w:cs="Times New Roman"/>
          <w:b w:val="0"/>
          <w:bCs w:val="0"/>
          <w:color w:val="auto"/>
          <w:sz w:val="32"/>
          <w:szCs w:val="32"/>
          <w:lang w:eastAsia="zh-CN"/>
        </w:rPr>
        <w:t>采取</w:t>
      </w:r>
      <w:r>
        <w:rPr>
          <w:rFonts w:hint="default" w:ascii="Times New Roman" w:hAnsi="Times New Roman" w:eastAsia="仿宋_GB2312" w:cs="Times New Roman"/>
          <w:b w:val="0"/>
          <w:bCs w:val="0"/>
          <w:color w:val="auto"/>
          <w:sz w:val="32"/>
          <w:szCs w:val="32"/>
        </w:rPr>
        <w:t>多部门联合开展网络市场专项整治</w:t>
      </w:r>
      <w:r>
        <w:rPr>
          <w:rFonts w:hint="default" w:ascii="Times New Roman" w:hAnsi="Times New Roman" w:eastAsia="仿宋_GB2312" w:cs="Times New Roman"/>
          <w:b w:val="0"/>
          <w:bCs w:val="0"/>
          <w:color w:val="auto"/>
          <w:sz w:val="32"/>
          <w:szCs w:val="32"/>
          <w:lang w:eastAsia="zh-CN"/>
        </w:rPr>
        <w:t>的模式</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提高整治行动的效果和影响力；</w:t>
      </w:r>
      <w:r>
        <w:rPr>
          <w:rFonts w:hint="default" w:ascii="Times New Roman" w:hAnsi="Times New Roman" w:eastAsia="仿宋_GB2312" w:cs="Times New Roman"/>
          <w:b w:val="0"/>
          <w:bCs w:val="0"/>
          <w:color w:val="auto"/>
          <w:sz w:val="32"/>
          <w:szCs w:val="32"/>
          <w:lang w:eastAsia="zh-CN"/>
        </w:rPr>
        <w:t>进一步发挥好</w:t>
      </w:r>
      <w:r>
        <w:rPr>
          <w:rFonts w:hint="default" w:ascii="Times New Roman" w:hAnsi="Times New Roman" w:eastAsia="仿宋_GB2312" w:cs="Times New Roman"/>
          <w:b w:val="0"/>
          <w:bCs w:val="0"/>
          <w:color w:val="auto"/>
          <w:sz w:val="32"/>
          <w:szCs w:val="32"/>
        </w:rPr>
        <w:t>政府、行业协会、媒体、公众等多方进行网络市场的监督</w:t>
      </w:r>
      <w:r>
        <w:rPr>
          <w:rFonts w:hint="default" w:ascii="Times New Roman" w:hAnsi="Times New Roman" w:eastAsia="仿宋_GB2312" w:cs="Times New Roman"/>
          <w:b w:val="0"/>
          <w:bCs w:val="0"/>
          <w:color w:val="auto"/>
          <w:sz w:val="32"/>
          <w:szCs w:val="32"/>
          <w:lang w:eastAsia="zh-CN"/>
        </w:rPr>
        <w:t>的合力</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加速形成</w:t>
      </w:r>
      <w:r>
        <w:rPr>
          <w:rFonts w:hint="default" w:ascii="Times New Roman" w:hAnsi="Times New Roman" w:eastAsia="仿宋_GB2312" w:cs="Times New Roman"/>
          <w:b w:val="0"/>
          <w:bCs w:val="0"/>
          <w:color w:val="auto"/>
          <w:sz w:val="32"/>
          <w:szCs w:val="32"/>
        </w:rPr>
        <w:t>社会共治</w:t>
      </w:r>
      <w:r>
        <w:rPr>
          <w:rFonts w:hint="default" w:ascii="Times New Roman" w:hAnsi="Times New Roman" w:eastAsia="仿宋_GB2312" w:cs="Times New Roman"/>
          <w:b w:val="0"/>
          <w:bCs w:val="0"/>
          <w:color w:val="auto"/>
          <w:sz w:val="32"/>
          <w:szCs w:val="32"/>
          <w:lang w:eastAsia="zh-CN"/>
        </w:rPr>
        <w:t>格局</w:t>
      </w:r>
      <w:r>
        <w:rPr>
          <w:rFonts w:hint="default" w:ascii="Times New Roman" w:hAnsi="Times New Roman" w:eastAsia="仿宋_GB2312" w:cs="Times New Roman"/>
          <w:b w:val="0"/>
          <w:bCs w:val="0"/>
          <w:color w:val="auto"/>
          <w:sz w:val="32"/>
          <w:szCs w:val="32"/>
        </w:rPr>
        <w:t>。</w:t>
      </w:r>
    </w:p>
    <w:p w14:paraId="5E1CF5E1">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（二）</w:t>
      </w:r>
      <w:r>
        <w:rPr>
          <w:rFonts w:hint="default" w:ascii="Times New Roman" w:hAnsi="Times New Roman" w:eastAsia="楷体_GB2312" w:cs="Times New Roman"/>
          <w:b w:val="0"/>
          <w:bCs w:val="0"/>
          <w:color w:val="auto"/>
          <w:sz w:val="32"/>
          <w:szCs w:val="32"/>
          <w:lang w:eastAsia="zh-CN"/>
        </w:rPr>
        <w:t>全力</w:t>
      </w:r>
      <w:r>
        <w:rPr>
          <w:rFonts w:hint="default" w:ascii="Times New Roman" w:hAnsi="Times New Roman" w:eastAsia="楷体_GB2312" w:cs="Times New Roman"/>
          <w:b w:val="0"/>
          <w:bCs w:val="0"/>
          <w:color w:val="auto"/>
          <w:sz w:val="32"/>
          <w:szCs w:val="32"/>
        </w:rPr>
        <w:t>打造临港特色电商产业聚集</w:t>
      </w:r>
      <w:r>
        <w:rPr>
          <w:rFonts w:hint="default" w:ascii="Times New Roman" w:hAnsi="Times New Roman" w:eastAsia="楷体_GB2312" w:cs="Times New Roman"/>
          <w:b w:val="0"/>
          <w:bCs w:val="0"/>
          <w:color w:val="auto"/>
          <w:sz w:val="32"/>
          <w:szCs w:val="32"/>
          <w:lang w:eastAsia="zh-CN"/>
        </w:rPr>
        <w:t>高</w:t>
      </w:r>
      <w:r>
        <w:rPr>
          <w:rFonts w:hint="default" w:ascii="Times New Roman" w:hAnsi="Times New Roman" w:eastAsia="楷体_GB2312" w:cs="Times New Roman"/>
          <w:b w:val="0"/>
          <w:bCs w:val="0"/>
          <w:color w:val="auto"/>
          <w:sz w:val="32"/>
          <w:szCs w:val="32"/>
        </w:rPr>
        <w:t>地</w:t>
      </w:r>
    </w:p>
    <w:p w14:paraId="6A29CD3A">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一是强化网络基础设施和新型基础设施建设，推进5G基站建设，提升网络质量，为电商产业园区、物流产业园区等重点区域提供网络基础保障</w:t>
      </w:r>
      <w:r>
        <w:rPr>
          <w:rFonts w:hint="default" w:ascii="Times New Roman" w:hAnsi="Times New Roman" w:eastAsia="仿宋_GB2312" w:cs="Times New Roman"/>
          <w:b w:val="0"/>
          <w:bCs w:val="0"/>
          <w:color w:val="auto"/>
          <w:sz w:val="32"/>
          <w:szCs w:val="32"/>
          <w:lang w:eastAsia="zh-CN"/>
        </w:rPr>
        <w:t>。</w:t>
      </w:r>
    </w:p>
    <w:p w14:paraId="5885A4FA">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rPr>
        <w:t>二是搭建完善的物流配送系统，建设仓储物流中心和末端配送网点，打通物流配送的“最后一公里”</w:t>
      </w:r>
      <w:r>
        <w:rPr>
          <w:rFonts w:hint="default" w:ascii="Times New Roman" w:hAnsi="Times New Roman" w:eastAsia="仿宋_GB2312" w:cs="Times New Roman"/>
          <w:b w:val="0"/>
          <w:bCs w:val="0"/>
          <w:color w:val="auto"/>
          <w:sz w:val="32"/>
          <w:szCs w:val="32"/>
          <w:lang w:eastAsia="zh-CN"/>
        </w:rPr>
        <w:t>。</w:t>
      </w:r>
    </w:p>
    <w:p w14:paraId="4FB2A3D2">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三是不断整合政府、协会、第三方服务商等多方资源，为电商企业、商家及创业群体提供人才培养、品牌运营、宣传推广等系列服务，推进电商产业集约化、规模化、品牌化发展，形成电商产业的聚集优势。</w:t>
      </w:r>
    </w:p>
    <w:p w14:paraId="69D59F6A">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rPr>
        <w:t>（三）</w:t>
      </w:r>
      <w:r>
        <w:rPr>
          <w:rFonts w:hint="default" w:ascii="Times New Roman" w:hAnsi="Times New Roman" w:eastAsia="楷体_GB2312" w:cs="Times New Roman"/>
          <w:b w:val="0"/>
          <w:bCs w:val="0"/>
          <w:color w:val="auto"/>
          <w:sz w:val="32"/>
          <w:szCs w:val="32"/>
          <w:lang w:eastAsia="zh-CN"/>
        </w:rPr>
        <w:t>进一步增强</w:t>
      </w:r>
      <w:r>
        <w:rPr>
          <w:rFonts w:hint="default" w:ascii="Times New Roman" w:hAnsi="Times New Roman" w:eastAsia="楷体_GB2312" w:cs="Times New Roman"/>
          <w:b w:val="0"/>
          <w:bCs w:val="0"/>
          <w:color w:val="auto"/>
          <w:sz w:val="32"/>
          <w:szCs w:val="32"/>
        </w:rPr>
        <w:t>电商专业人才</w:t>
      </w:r>
      <w:r>
        <w:rPr>
          <w:rFonts w:hint="default" w:ascii="Times New Roman" w:hAnsi="Times New Roman" w:eastAsia="楷体_GB2312" w:cs="Times New Roman"/>
          <w:b w:val="0"/>
          <w:bCs w:val="0"/>
          <w:color w:val="auto"/>
          <w:sz w:val="32"/>
          <w:szCs w:val="32"/>
          <w:lang w:eastAsia="zh-CN"/>
        </w:rPr>
        <w:t>吸引力</w:t>
      </w:r>
    </w:p>
    <w:p w14:paraId="682850E3">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依托政府、高校、电商产业园、电商平台企业等资源，开创“政校企”三方合作的电商人才培养新模式，培养打造复合型电商专业人才</w:t>
      </w:r>
      <w:r>
        <w:rPr>
          <w:rFonts w:hint="default" w:ascii="Times New Roman" w:hAnsi="Times New Roman" w:eastAsia="仿宋_GB2312" w:cs="Times New Roman"/>
          <w:b w:val="0"/>
          <w:bCs w:val="0"/>
          <w:color w:val="auto"/>
          <w:sz w:val="32"/>
          <w:szCs w:val="32"/>
          <w:lang w:eastAsia="zh-CN"/>
        </w:rPr>
        <w:t>；扎实</w:t>
      </w:r>
      <w:r>
        <w:rPr>
          <w:rFonts w:hint="default" w:ascii="Times New Roman" w:hAnsi="Times New Roman" w:eastAsia="仿宋_GB2312" w:cs="Times New Roman"/>
          <w:b w:val="0"/>
          <w:bCs w:val="0"/>
          <w:color w:val="auto"/>
          <w:sz w:val="32"/>
          <w:szCs w:val="32"/>
        </w:rPr>
        <w:t>推进临港区电商人才集聚基地建设，为具备电商专业技能的主播等人才提供优惠政策，</w:t>
      </w:r>
      <w:r>
        <w:rPr>
          <w:rFonts w:hint="default" w:ascii="Times New Roman" w:hAnsi="Times New Roman" w:eastAsia="仿宋_GB2312" w:cs="Times New Roman"/>
          <w:b w:val="0"/>
          <w:bCs w:val="0"/>
          <w:color w:val="auto"/>
          <w:sz w:val="32"/>
          <w:szCs w:val="32"/>
          <w:lang w:eastAsia="zh-CN"/>
        </w:rPr>
        <w:t>更好</w:t>
      </w:r>
      <w:r>
        <w:rPr>
          <w:rFonts w:hint="default" w:ascii="Times New Roman" w:hAnsi="Times New Roman" w:eastAsia="仿宋_GB2312" w:cs="Times New Roman"/>
          <w:b w:val="0"/>
          <w:bCs w:val="0"/>
          <w:color w:val="auto"/>
          <w:sz w:val="32"/>
          <w:szCs w:val="32"/>
        </w:rPr>
        <w:t>吸引专业电商人才落户临港区。</w:t>
      </w:r>
    </w:p>
    <w:p w14:paraId="61114428">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（四）</w:t>
      </w:r>
      <w:r>
        <w:rPr>
          <w:rFonts w:hint="default" w:ascii="Times New Roman" w:hAnsi="Times New Roman" w:eastAsia="楷体_GB2312" w:cs="Times New Roman"/>
          <w:b w:val="0"/>
          <w:bCs w:val="0"/>
          <w:color w:val="auto"/>
          <w:sz w:val="32"/>
          <w:szCs w:val="32"/>
          <w:lang w:eastAsia="zh-CN"/>
        </w:rPr>
        <w:t>全力挖掘培育</w:t>
      </w:r>
      <w:r>
        <w:rPr>
          <w:rFonts w:hint="default" w:ascii="Times New Roman" w:hAnsi="Times New Roman" w:eastAsia="楷体_GB2312" w:cs="Times New Roman"/>
          <w:b w:val="0"/>
          <w:bCs w:val="0"/>
          <w:color w:val="auto"/>
          <w:sz w:val="32"/>
          <w:szCs w:val="32"/>
        </w:rPr>
        <w:t>地理标志产品</w:t>
      </w:r>
    </w:p>
    <w:p w14:paraId="771C3FB8">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依托本地特色电商平台，</w:t>
      </w:r>
      <w:r>
        <w:rPr>
          <w:rFonts w:hint="default" w:ascii="Times New Roman" w:hAnsi="Times New Roman" w:eastAsia="仿宋_GB2312" w:cs="Times New Roman"/>
          <w:b w:val="0"/>
          <w:bCs w:val="0"/>
          <w:color w:val="auto"/>
          <w:sz w:val="32"/>
          <w:szCs w:val="32"/>
          <w:lang w:eastAsia="zh-CN"/>
        </w:rPr>
        <w:t>积极</w:t>
      </w:r>
      <w:r>
        <w:rPr>
          <w:rFonts w:hint="default" w:ascii="Times New Roman" w:hAnsi="Times New Roman" w:eastAsia="仿宋_GB2312" w:cs="Times New Roman"/>
          <w:b w:val="0"/>
          <w:bCs w:val="0"/>
          <w:color w:val="auto"/>
          <w:sz w:val="32"/>
          <w:szCs w:val="32"/>
        </w:rPr>
        <w:t>发掘</w:t>
      </w:r>
      <w:r>
        <w:rPr>
          <w:rFonts w:hint="default" w:ascii="Times New Roman" w:hAnsi="Times New Roman" w:eastAsia="仿宋_GB2312" w:cs="Times New Roman"/>
          <w:b w:val="0"/>
          <w:bCs w:val="0"/>
          <w:color w:val="auto"/>
          <w:sz w:val="32"/>
          <w:szCs w:val="32"/>
          <w:lang w:eastAsia="zh-CN"/>
        </w:rPr>
        <w:t>培育</w:t>
      </w:r>
      <w:r>
        <w:rPr>
          <w:rFonts w:hint="default" w:ascii="Times New Roman" w:hAnsi="Times New Roman" w:eastAsia="仿宋_GB2312" w:cs="Times New Roman"/>
          <w:b w:val="0"/>
          <w:bCs w:val="0"/>
          <w:color w:val="auto"/>
          <w:sz w:val="32"/>
          <w:szCs w:val="32"/>
        </w:rPr>
        <w:t>本地龙头电商企业、特色产品品牌等，引导网络交易经营者</w:t>
      </w:r>
      <w:r>
        <w:rPr>
          <w:rFonts w:hint="default" w:ascii="Times New Roman" w:hAnsi="Times New Roman" w:eastAsia="仿宋_GB2312" w:cs="Times New Roman"/>
          <w:b w:val="0"/>
          <w:bCs w:val="0"/>
          <w:color w:val="auto"/>
          <w:sz w:val="32"/>
          <w:szCs w:val="32"/>
          <w:lang w:eastAsia="zh-CN"/>
        </w:rPr>
        <w:t>自觉</w:t>
      </w:r>
      <w:r>
        <w:rPr>
          <w:rFonts w:hint="default" w:ascii="Times New Roman" w:hAnsi="Times New Roman" w:eastAsia="仿宋_GB2312" w:cs="Times New Roman"/>
          <w:b w:val="0"/>
          <w:bCs w:val="0"/>
          <w:color w:val="auto"/>
          <w:sz w:val="32"/>
          <w:szCs w:val="32"/>
        </w:rPr>
        <w:t>加强品牌建设，</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提升网络交易经营者知识产权保护意识，</w:t>
      </w:r>
      <w:r>
        <w:rPr>
          <w:rFonts w:hint="default" w:ascii="Times New Roman" w:hAnsi="Times New Roman" w:eastAsia="仿宋_GB2312" w:cs="Times New Roman"/>
          <w:b w:val="0"/>
          <w:bCs w:val="0"/>
          <w:color w:val="auto"/>
          <w:sz w:val="32"/>
          <w:szCs w:val="32"/>
          <w:lang w:eastAsia="zh-CN"/>
        </w:rPr>
        <w:t>进一步提升</w:t>
      </w:r>
      <w:r>
        <w:rPr>
          <w:rFonts w:hint="default" w:ascii="Times New Roman" w:hAnsi="Times New Roman" w:eastAsia="仿宋_GB2312" w:cs="Times New Roman"/>
          <w:b w:val="0"/>
          <w:bCs w:val="0"/>
          <w:color w:val="auto"/>
          <w:sz w:val="32"/>
          <w:szCs w:val="32"/>
        </w:rPr>
        <w:t>区域品牌影响力；依托临港区地理优势资源，大力培育地理标志商标，</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提升全区特色产品质量、品牌和社会影响力，打造</w:t>
      </w:r>
      <w:r>
        <w:rPr>
          <w:rFonts w:hint="default" w:ascii="Times New Roman" w:hAnsi="Times New Roman" w:eastAsia="仿宋_GB2312" w:cs="Times New Roman"/>
          <w:b w:val="0"/>
          <w:bCs w:val="0"/>
          <w:color w:val="auto"/>
          <w:sz w:val="32"/>
          <w:szCs w:val="32"/>
          <w:lang w:eastAsia="zh-CN"/>
        </w:rPr>
        <w:t>一批如</w:t>
      </w:r>
      <w:r>
        <w:rPr>
          <w:rFonts w:hint="default" w:ascii="Times New Roman" w:hAnsi="Times New Roman" w:eastAsia="仿宋_GB2312" w:cs="Times New Roman"/>
          <w:b w:val="0"/>
          <w:bCs w:val="0"/>
          <w:color w:val="auto"/>
          <w:sz w:val="32"/>
          <w:szCs w:val="32"/>
        </w:rPr>
        <w:t>“山马于西瓜”“汪疃花饽饽”</w:t>
      </w:r>
      <w:r>
        <w:rPr>
          <w:rFonts w:hint="default" w:ascii="Times New Roman" w:hAnsi="Times New Roman" w:eastAsia="仿宋_GB2312" w:cs="Times New Roman"/>
          <w:b w:val="0"/>
          <w:bCs w:val="0"/>
          <w:color w:val="auto"/>
          <w:sz w:val="32"/>
          <w:szCs w:val="32"/>
          <w:lang w:eastAsia="zh-CN"/>
        </w:rPr>
        <w:t>等影响力较大的</w:t>
      </w:r>
      <w:r>
        <w:rPr>
          <w:rFonts w:hint="default" w:ascii="Times New Roman" w:hAnsi="Times New Roman" w:eastAsia="仿宋_GB2312" w:cs="Times New Roman"/>
          <w:b w:val="0"/>
          <w:bCs w:val="0"/>
          <w:color w:val="auto"/>
          <w:sz w:val="32"/>
          <w:szCs w:val="32"/>
        </w:rPr>
        <w:t>地理标志产品。</w:t>
      </w:r>
    </w:p>
    <w:p w14:paraId="48CD4171">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rPr>
        <w:t>（五）</w:t>
      </w:r>
      <w:r>
        <w:rPr>
          <w:rFonts w:hint="default" w:ascii="Times New Roman" w:hAnsi="Times New Roman" w:eastAsia="楷体_GB2312" w:cs="Times New Roman"/>
          <w:b w:val="0"/>
          <w:bCs w:val="0"/>
          <w:color w:val="auto"/>
          <w:sz w:val="32"/>
          <w:szCs w:val="32"/>
          <w:lang w:eastAsia="zh-CN"/>
        </w:rPr>
        <w:t>扎实做好</w:t>
      </w:r>
      <w:r>
        <w:rPr>
          <w:rFonts w:hint="default" w:ascii="Times New Roman" w:hAnsi="Times New Roman" w:eastAsia="楷体_GB2312" w:cs="Times New Roman"/>
          <w:b w:val="0"/>
          <w:bCs w:val="0"/>
          <w:color w:val="auto"/>
          <w:sz w:val="32"/>
          <w:szCs w:val="32"/>
        </w:rPr>
        <w:t>消费者权益维护</w:t>
      </w:r>
      <w:r>
        <w:rPr>
          <w:rFonts w:hint="default" w:ascii="Times New Roman" w:hAnsi="Times New Roman" w:eastAsia="楷体_GB2312" w:cs="Times New Roman"/>
          <w:b w:val="0"/>
          <w:bCs w:val="0"/>
          <w:color w:val="auto"/>
          <w:sz w:val="32"/>
          <w:szCs w:val="32"/>
          <w:lang w:eastAsia="zh-CN"/>
        </w:rPr>
        <w:t>工作</w:t>
      </w:r>
    </w:p>
    <w:p w14:paraId="425427A7">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一是加大宣传教育，通过发布消费维权案例、开展网络消费维权宣传活动等形式，</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提升消费者的维权意识。</w:t>
      </w:r>
    </w:p>
    <w:p w14:paraId="0848E336">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二是建设线上受理网络消费投诉和维权咨询平台，及时帮助消费者解决遇到的问题，</w:t>
      </w:r>
      <w:r>
        <w:rPr>
          <w:rFonts w:hint="default" w:ascii="Times New Roman" w:hAnsi="Times New Roman" w:eastAsia="仿宋_GB2312" w:cs="Times New Roman"/>
          <w:b w:val="0"/>
          <w:bCs w:val="0"/>
          <w:color w:val="auto"/>
          <w:sz w:val="32"/>
          <w:szCs w:val="32"/>
          <w:lang w:eastAsia="zh-CN"/>
        </w:rPr>
        <w:t>有效</w:t>
      </w:r>
      <w:r>
        <w:rPr>
          <w:rFonts w:hint="default" w:ascii="Times New Roman" w:hAnsi="Times New Roman" w:eastAsia="仿宋_GB2312" w:cs="Times New Roman"/>
          <w:b w:val="0"/>
          <w:bCs w:val="0"/>
          <w:color w:val="auto"/>
          <w:sz w:val="32"/>
          <w:szCs w:val="32"/>
        </w:rPr>
        <w:t>减少网络交易市场侵犯消费者权益的行为。</w:t>
      </w:r>
    </w:p>
    <w:p w14:paraId="220D22AF">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三是鼓励消费者采用协商、调解等方式解决纠纷，</w:t>
      </w:r>
      <w:r>
        <w:rPr>
          <w:rFonts w:hint="default" w:ascii="Times New Roman" w:hAnsi="Times New Roman" w:eastAsia="仿宋_GB2312" w:cs="Times New Roman"/>
          <w:b w:val="0"/>
          <w:bCs w:val="0"/>
          <w:color w:val="auto"/>
          <w:sz w:val="32"/>
          <w:szCs w:val="32"/>
          <w:lang w:eastAsia="zh-CN"/>
        </w:rPr>
        <w:t>推动</w:t>
      </w:r>
      <w:r>
        <w:rPr>
          <w:rFonts w:hint="default" w:ascii="Times New Roman" w:hAnsi="Times New Roman" w:eastAsia="仿宋_GB2312" w:cs="Times New Roman"/>
          <w:b w:val="0"/>
          <w:bCs w:val="0"/>
          <w:color w:val="auto"/>
          <w:sz w:val="32"/>
          <w:szCs w:val="32"/>
        </w:rPr>
        <w:t>政府部门加强与消费者组织、协会等部门的沟通交流，共同推动消费纠纷的解决。</w:t>
      </w:r>
    </w:p>
    <w:p w14:paraId="0477FBCD">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楷体_GB2312" w:cs="Times New Roman"/>
          <w:b w:val="0"/>
          <w:bCs w:val="0"/>
          <w:color w:val="auto"/>
          <w:sz w:val="32"/>
          <w:szCs w:val="32"/>
        </w:rPr>
      </w:pPr>
      <w:r>
        <w:rPr>
          <w:rFonts w:hint="default" w:ascii="Times New Roman" w:hAnsi="Times New Roman" w:eastAsia="楷体_GB2312" w:cs="Times New Roman"/>
          <w:b w:val="0"/>
          <w:bCs w:val="0"/>
          <w:color w:val="auto"/>
          <w:sz w:val="32"/>
          <w:szCs w:val="32"/>
        </w:rPr>
        <w:t>（六）</w:t>
      </w:r>
      <w:r>
        <w:rPr>
          <w:rFonts w:hint="default" w:ascii="Times New Roman" w:hAnsi="Times New Roman" w:eastAsia="楷体_GB2312" w:cs="Times New Roman"/>
          <w:b w:val="0"/>
          <w:bCs w:val="0"/>
          <w:color w:val="auto"/>
          <w:sz w:val="32"/>
          <w:szCs w:val="32"/>
          <w:lang w:eastAsia="zh-CN"/>
        </w:rPr>
        <w:t>进一步</w:t>
      </w:r>
      <w:r>
        <w:rPr>
          <w:rFonts w:hint="default" w:ascii="Times New Roman" w:hAnsi="Times New Roman" w:eastAsia="楷体_GB2312" w:cs="Times New Roman"/>
          <w:b w:val="0"/>
          <w:bCs w:val="0"/>
          <w:color w:val="auto"/>
          <w:sz w:val="32"/>
          <w:szCs w:val="32"/>
        </w:rPr>
        <w:t>探索网络市场服务创新实践</w:t>
      </w:r>
    </w:p>
    <w:p w14:paraId="3296F74E">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完善</w:t>
      </w:r>
      <w:r>
        <w:rPr>
          <w:rFonts w:hint="default" w:ascii="Times New Roman" w:hAnsi="Times New Roman" w:eastAsia="仿宋_GB2312" w:cs="Times New Roman"/>
          <w:b w:val="0"/>
          <w:bCs w:val="0"/>
          <w:color w:val="auto"/>
          <w:sz w:val="32"/>
          <w:szCs w:val="32"/>
          <w:lang w:eastAsia="zh-CN"/>
        </w:rPr>
        <w:t>配强</w:t>
      </w:r>
      <w:r>
        <w:rPr>
          <w:rFonts w:hint="default" w:ascii="Times New Roman" w:hAnsi="Times New Roman" w:eastAsia="仿宋_GB2312" w:cs="Times New Roman"/>
          <w:b w:val="0"/>
          <w:bCs w:val="0"/>
          <w:color w:val="auto"/>
          <w:sz w:val="32"/>
          <w:szCs w:val="32"/>
        </w:rPr>
        <w:t>保障措施，加强对新模式、新业态、新方法的研究，</w:t>
      </w:r>
      <w:r>
        <w:rPr>
          <w:rFonts w:hint="default" w:ascii="Times New Roman" w:hAnsi="Times New Roman" w:eastAsia="仿宋_GB2312" w:cs="Times New Roman"/>
          <w:b w:val="0"/>
          <w:bCs w:val="0"/>
          <w:color w:val="auto"/>
          <w:sz w:val="32"/>
          <w:szCs w:val="32"/>
          <w:lang w:eastAsia="zh-CN"/>
        </w:rPr>
        <w:t>立足</w:t>
      </w:r>
      <w:r>
        <w:rPr>
          <w:rFonts w:hint="default" w:ascii="Times New Roman" w:hAnsi="Times New Roman" w:eastAsia="仿宋_GB2312" w:cs="Times New Roman"/>
          <w:b w:val="0"/>
          <w:bCs w:val="0"/>
          <w:color w:val="auto"/>
          <w:sz w:val="32"/>
          <w:szCs w:val="32"/>
        </w:rPr>
        <w:t>临港区实际，出台适应当地网络市场发展的政策</w:t>
      </w:r>
      <w:r>
        <w:rPr>
          <w:rFonts w:hint="default" w:ascii="Times New Roman" w:hAnsi="Times New Roman" w:eastAsia="仿宋_GB2312" w:cs="Times New Roman"/>
          <w:b w:val="0"/>
          <w:bCs w:val="0"/>
          <w:color w:val="auto"/>
          <w:sz w:val="32"/>
          <w:szCs w:val="32"/>
          <w:lang w:eastAsia="zh-CN"/>
        </w:rPr>
        <w:t>文件</w:t>
      </w:r>
      <w:r>
        <w:rPr>
          <w:rFonts w:hint="default" w:ascii="Times New Roman" w:hAnsi="Times New Roman" w:eastAsia="仿宋_GB2312" w:cs="Times New Roman"/>
          <w:b w:val="0"/>
          <w:bCs w:val="0"/>
          <w:color w:val="auto"/>
          <w:sz w:val="32"/>
          <w:szCs w:val="32"/>
        </w:rPr>
        <w:t>，鼓励传统生产企业入驻直播电商平台等电子商务平台，通过直播推介</w:t>
      </w:r>
      <w:r>
        <w:rPr>
          <w:rFonts w:hint="default" w:ascii="Times New Roman" w:hAnsi="Times New Roman" w:eastAsia="仿宋_GB2312" w:cs="Times New Roman"/>
          <w:b w:val="0"/>
          <w:bCs w:val="0"/>
          <w:color w:val="auto"/>
          <w:sz w:val="32"/>
          <w:szCs w:val="32"/>
          <w:lang w:eastAsia="zh-CN"/>
        </w:rPr>
        <w:t>等渠道</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全力</w:t>
      </w:r>
      <w:r>
        <w:rPr>
          <w:rFonts w:hint="default" w:ascii="Times New Roman" w:hAnsi="Times New Roman" w:eastAsia="仿宋_GB2312" w:cs="Times New Roman"/>
          <w:b w:val="0"/>
          <w:bCs w:val="0"/>
          <w:color w:val="auto"/>
          <w:sz w:val="32"/>
          <w:szCs w:val="32"/>
        </w:rPr>
        <w:t>打造威海网红爆品，助力临港区的钓具、农产品、预制菜等特色产品搭上电商快车</w:t>
      </w:r>
      <w:r>
        <w:rPr>
          <w:rFonts w:hint="default" w:ascii="Times New Roman" w:hAnsi="Times New Roman" w:eastAsia="仿宋_GB2312" w:cs="Times New Roman"/>
          <w:b w:val="0"/>
          <w:bCs w:val="0"/>
          <w:color w:val="auto"/>
          <w:sz w:val="32"/>
          <w:szCs w:val="32"/>
          <w:lang w:eastAsia="zh-CN"/>
        </w:rPr>
        <w:t>，加速形成</w:t>
      </w:r>
      <w:r>
        <w:rPr>
          <w:rFonts w:hint="default" w:ascii="Times New Roman" w:hAnsi="Times New Roman" w:eastAsia="仿宋_GB2312" w:cs="Times New Roman"/>
          <w:b w:val="0"/>
          <w:bCs w:val="0"/>
          <w:color w:val="auto"/>
          <w:sz w:val="32"/>
          <w:szCs w:val="32"/>
        </w:rPr>
        <w:t>线上线下融合发展</w:t>
      </w:r>
      <w:r>
        <w:rPr>
          <w:rFonts w:hint="default" w:ascii="Times New Roman" w:hAnsi="Times New Roman" w:eastAsia="仿宋_GB2312" w:cs="Times New Roman"/>
          <w:b w:val="0"/>
          <w:bCs w:val="0"/>
          <w:color w:val="auto"/>
          <w:sz w:val="32"/>
          <w:szCs w:val="32"/>
          <w:lang w:eastAsia="zh-CN"/>
        </w:rPr>
        <w:t>大趋势</w:t>
      </w:r>
      <w:r>
        <w:rPr>
          <w:rFonts w:hint="default" w:ascii="Times New Roman" w:hAnsi="Times New Roman" w:eastAsia="仿宋_GB2312" w:cs="Times New Roman"/>
          <w:b w:val="0"/>
          <w:bCs w:val="0"/>
          <w:color w:val="auto"/>
          <w:sz w:val="32"/>
          <w:szCs w:val="32"/>
          <w:shd w:val="clear" w:color="auto" w:fill="FFFFFF"/>
        </w:rPr>
        <w:t>。</w:t>
      </w:r>
    </w:p>
    <w:p w14:paraId="4BF3C19C">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lang w:eastAsia="zh-CN"/>
        </w:rPr>
        <w:t>四、</w:t>
      </w:r>
      <w:r>
        <w:rPr>
          <w:rFonts w:hint="default" w:ascii="Times New Roman" w:hAnsi="Times New Roman" w:eastAsia="黑体" w:cs="Times New Roman"/>
          <w:b w:val="0"/>
          <w:bCs w:val="0"/>
          <w:color w:val="auto"/>
          <w:sz w:val="32"/>
          <w:szCs w:val="32"/>
        </w:rPr>
        <w:t>进度安排</w:t>
      </w:r>
    </w:p>
    <w:p w14:paraId="1840204D">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创建工作从202</w:t>
      </w:r>
      <w:r>
        <w:rPr>
          <w:rFonts w:hint="default" w:ascii="Times New Roman" w:hAnsi="Times New Roman" w:eastAsia="仿宋_GB2312" w:cs="Times New Roman"/>
          <w:b w:val="0"/>
          <w:bCs w:val="0"/>
          <w:color w:val="auto"/>
          <w:sz w:val="32"/>
          <w:szCs w:val="32"/>
          <w:lang w:val="en-US" w:eastAsia="zh-CN"/>
        </w:rPr>
        <w:t>3</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11</w:t>
      </w:r>
      <w:r>
        <w:rPr>
          <w:rFonts w:hint="default" w:ascii="Times New Roman" w:hAnsi="Times New Roman" w:eastAsia="仿宋_GB2312" w:cs="Times New Roman"/>
          <w:b w:val="0"/>
          <w:bCs w:val="0"/>
          <w:color w:val="auto"/>
          <w:sz w:val="32"/>
          <w:szCs w:val="32"/>
        </w:rPr>
        <w:t>月启动到202</w:t>
      </w:r>
      <w:r>
        <w:rPr>
          <w:rFonts w:hint="default" w:ascii="Times New Roman" w:hAnsi="Times New Roman" w:eastAsia="仿宋_GB2312" w:cs="Times New Roman"/>
          <w:b w:val="0"/>
          <w:bCs w:val="0"/>
          <w:color w:val="auto"/>
          <w:sz w:val="32"/>
          <w:szCs w:val="32"/>
          <w:lang w:val="en-US" w:eastAsia="zh-CN"/>
        </w:rPr>
        <w:t>5</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6</w:t>
      </w:r>
      <w:r>
        <w:rPr>
          <w:rFonts w:hint="default" w:ascii="Times New Roman" w:hAnsi="Times New Roman" w:eastAsia="仿宋_GB2312" w:cs="Times New Roman"/>
          <w:b w:val="0"/>
          <w:bCs w:val="0"/>
          <w:color w:val="auto"/>
          <w:sz w:val="32"/>
          <w:szCs w:val="32"/>
        </w:rPr>
        <w:t>月结束，分</w:t>
      </w:r>
      <w:r>
        <w:rPr>
          <w:rFonts w:hint="default" w:ascii="Times New Roman" w:hAnsi="Times New Roman" w:eastAsia="仿宋_GB2312" w:cs="Times New Roman"/>
          <w:b w:val="0"/>
          <w:bCs w:val="0"/>
          <w:color w:val="auto"/>
          <w:sz w:val="32"/>
          <w:szCs w:val="32"/>
          <w:lang w:eastAsia="zh-CN"/>
        </w:rPr>
        <w:t>为</w:t>
      </w:r>
      <w:r>
        <w:rPr>
          <w:rFonts w:hint="default" w:ascii="Times New Roman" w:hAnsi="Times New Roman" w:eastAsia="仿宋_GB2312" w:cs="Times New Roman"/>
          <w:b w:val="0"/>
          <w:bCs w:val="0"/>
          <w:color w:val="auto"/>
          <w:sz w:val="32"/>
          <w:szCs w:val="32"/>
        </w:rPr>
        <w:t>启动、创建、验收三个阶段实施，具体如下：</w:t>
      </w:r>
    </w:p>
    <w:p w14:paraId="0AC75ED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（一）启动阶段</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2023年11月</w:t>
      </w:r>
      <w:r>
        <w:rPr>
          <w:rFonts w:hint="eastAsia"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2023年12月</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组织召开创建全国网络市场监管与服务示范区动员会，建立</w:t>
      </w:r>
      <w:r>
        <w:rPr>
          <w:rFonts w:hint="default" w:ascii="Times New Roman" w:hAnsi="Times New Roman" w:eastAsia="仿宋_GB2312" w:cs="Times New Roman"/>
          <w:b w:val="0"/>
          <w:bCs w:val="0"/>
          <w:color w:val="auto"/>
          <w:sz w:val="32"/>
          <w:szCs w:val="32"/>
          <w:lang w:eastAsia="zh-CN"/>
        </w:rPr>
        <w:t>健全</w:t>
      </w:r>
      <w:r>
        <w:rPr>
          <w:rFonts w:hint="default" w:ascii="Times New Roman" w:hAnsi="Times New Roman" w:eastAsia="仿宋_GB2312" w:cs="Times New Roman"/>
          <w:b w:val="0"/>
          <w:bCs w:val="0"/>
          <w:color w:val="auto"/>
          <w:sz w:val="32"/>
          <w:szCs w:val="32"/>
        </w:rPr>
        <w:t>网络交易监管部门联席会议机制，扎实推动创建工作。</w:t>
      </w:r>
      <w:r>
        <w:rPr>
          <w:rFonts w:hint="default" w:ascii="Times New Roman" w:hAnsi="Times New Roman" w:eastAsia="仿宋_GB2312" w:cs="Times New Roman"/>
          <w:b w:val="0"/>
          <w:bCs w:val="0"/>
          <w:color w:val="auto"/>
          <w:sz w:val="32"/>
          <w:szCs w:val="32"/>
          <w:lang w:eastAsia="zh-CN"/>
        </w:rPr>
        <w:t>按照</w:t>
      </w:r>
      <w:r>
        <w:rPr>
          <w:rFonts w:hint="default" w:ascii="Times New Roman" w:hAnsi="Times New Roman" w:eastAsia="仿宋_GB2312" w:cs="Times New Roman"/>
          <w:b w:val="0"/>
          <w:bCs w:val="0"/>
          <w:color w:val="auto"/>
          <w:sz w:val="32"/>
          <w:szCs w:val="32"/>
        </w:rPr>
        <w:t>《全省网络市场监管与服务示范区创建评估指标体系》</w:t>
      </w:r>
      <w:r>
        <w:rPr>
          <w:rFonts w:hint="default" w:ascii="Times New Roman" w:hAnsi="Times New Roman" w:eastAsia="仿宋_GB2312" w:cs="Times New Roman"/>
          <w:b w:val="0"/>
          <w:bCs w:val="0"/>
          <w:color w:val="auto"/>
          <w:sz w:val="32"/>
          <w:szCs w:val="32"/>
          <w:lang w:eastAsia="zh-CN"/>
        </w:rPr>
        <w:t>相关要求</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进一步</w:t>
      </w:r>
      <w:r>
        <w:rPr>
          <w:rFonts w:hint="default" w:ascii="Times New Roman" w:hAnsi="Times New Roman" w:eastAsia="仿宋_GB2312" w:cs="Times New Roman"/>
          <w:b w:val="0"/>
          <w:bCs w:val="0"/>
          <w:color w:val="auto"/>
          <w:sz w:val="32"/>
          <w:szCs w:val="32"/>
        </w:rPr>
        <w:t>细化创建标准</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明确各部门工作职责，制定督查、考核办法，确保创建工作任务层层落实，各部门履责到位。</w:t>
      </w:r>
    </w:p>
    <w:p w14:paraId="02198396">
      <w:pPr>
        <w:keepNext w:val="0"/>
        <w:keepLines w:val="0"/>
        <w:pageBreakBefore w:val="0"/>
        <w:widowControl w:val="0"/>
        <w:kinsoku/>
        <w:wordWrap/>
        <w:overflowPunct/>
        <w:topLinePunct w:val="0"/>
        <w:autoSpaceDE/>
        <w:autoSpaceDN/>
        <w:bidi w:val="0"/>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（二）创建阶段</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2024年1月</w:t>
      </w:r>
      <w:r>
        <w:rPr>
          <w:rFonts w:hint="eastAsia"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2025年</w:t>
      </w:r>
      <w:r>
        <w:rPr>
          <w:rFonts w:hint="eastAsia" w:ascii="Times New Roman" w:hAnsi="Times New Roman" w:eastAsia="楷体_GB2312" w:cs="Times New Roman"/>
          <w:b w:val="0"/>
          <w:bCs w:val="0"/>
          <w:color w:val="auto"/>
          <w:sz w:val="32"/>
          <w:szCs w:val="32"/>
          <w:lang w:val="en-US" w:eastAsia="zh-CN"/>
        </w:rPr>
        <w:t>6</w:t>
      </w:r>
      <w:r>
        <w:rPr>
          <w:rFonts w:hint="default" w:ascii="Times New Roman" w:hAnsi="Times New Roman" w:eastAsia="楷体_GB2312" w:cs="Times New Roman"/>
          <w:b w:val="0"/>
          <w:bCs w:val="0"/>
          <w:color w:val="auto"/>
          <w:sz w:val="32"/>
          <w:szCs w:val="32"/>
        </w:rPr>
        <w:t>月</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eastAsia="zh-CN"/>
        </w:rPr>
        <w:t>临港区管委</w:t>
      </w:r>
      <w:r>
        <w:rPr>
          <w:rFonts w:hint="default" w:ascii="Times New Roman" w:hAnsi="Times New Roman" w:eastAsia="仿宋_GB2312" w:cs="Times New Roman"/>
          <w:b w:val="0"/>
          <w:bCs w:val="0"/>
          <w:color w:val="auto"/>
          <w:sz w:val="32"/>
          <w:szCs w:val="32"/>
        </w:rPr>
        <w:t>将网络市场监管与服务示范区创建相关工作列入</w:t>
      </w:r>
      <w:r>
        <w:rPr>
          <w:rFonts w:hint="default" w:ascii="Times New Roman" w:hAnsi="Times New Roman" w:eastAsia="仿宋_GB2312" w:cs="Times New Roman"/>
          <w:b w:val="0"/>
          <w:bCs w:val="0"/>
          <w:color w:val="auto"/>
          <w:sz w:val="32"/>
          <w:szCs w:val="32"/>
          <w:lang w:eastAsia="zh-CN"/>
        </w:rPr>
        <w:t>区级</w:t>
      </w:r>
      <w:r>
        <w:rPr>
          <w:rFonts w:hint="default" w:ascii="Times New Roman" w:hAnsi="Times New Roman" w:eastAsia="仿宋_GB2312" w:cs="Times New Roman"/>
          <w:b w:val="0"/>
          <w:bCs w:val="0"/>
          <w:color w:val="auto"/>
          <w:sz w:val="32"/>
          <w:szCs w:val="32"/>
        </w:rPr>
        <w:t>重点工作规划，构建政府、社会组织、平台企业、第三方机构等多方参与的协同化服务格局，全面</w:t>
      </w:r>
      <w:r>
        <w:rPr>
          <w:rFonts w:hint="default" w:ascii="Times New Roman" w:hAnsi="Times New Roman" w:eastAsia="仿宋_GB2312" w:cs="Times New Roman"/>
          <w:b w:val="0"/>
          <w:bCs w:val="0"/>
          <w:color w:val="auto"/>
          <w:sz w:val="32"/>
          <w:szCs w:val="32"/>
          <w:lang w:eastAsia="zh-CN"/>
        </w:rPr>
        <w:t>推动</w:t>
      </w:r>
      <w:r>
        <w:rPr>
          <w:rFonts w:hint="default" w:ascii="Times New Roman" w:hAnsi="Times New Roman" w:eastAsia="仿宋_GB2312" w:cs="Times New Roman"/>
          <w:b w:val="0"/>
          <w:bCs w:val="0"/>
          <w:color w:val="auto"/>
          <w:sz w:val="32"/>
          <w:szCs w:val="32"/>
        </w:rPr>
        <w:t>创建工作</w:t>
      </w:r>
      <w:r>
        <w:rPr>
          <w:rFonts w:hint="default" w:ascii="Times New Roman" w:hAnsi="Times New Roman" w:eastAsia="仿宋_GB2312" w:cs="Times New Roman"/>
          <w:b w:val="0"/>
          <w:bCs w:val="0"/>
          <w:color w:val="auto"/>
          <w:sz w:val="32"/>
          <w:szCs w:val="32"/>
          <w:lang w:eastAsia="zh-CN"/>
        </w:rPr>
        <w:t>有序开展</w:t>
      </w:r>
      <w:r>
        <w:rPr>
          <w:rFonts w:hint="default" w:ascii="Times New Roman" w:hAnsi="Times New Roman" w:eastAsia="仿宋_GB2312" w:cs="Times New Roman"/>
          <w:b w:val="0"/>
          <w:bCs w:val="0"/>
          <w:color w:val="auto"/>
          <w:sz w:val="32"/>
          <w:szCs w:val="32"/>
        </w:rPr>
        <w:t>。</w:t>
      </w:r>
    </w:p>
    <w:p w14:paraId="03EEF07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（三）验收阶段</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2025年7月</w:t>
      </w:r>
      <w:r>
        <w:rPr>
          <w:rFonts w:hint="eastAsia" w:ascii="Times New Roman" w:hAnsi="Times New Roman" w:eastAsia="楷体_GB2312" w:cs="Times New Roman"/>
          <w:b w:val="0"/>
          <w:bCs w:val="0"/>
          <w:color w:val="auto"/>
          <w:sz w:val="32"/>
          <w:szCs w:val="32"/>
          <w:lang w:eastAsia="zh-CN"/>
        </w:rPr>
        <w:t>—</w:t>
      </w:r>
      <w:r>
        <w:rPr>
          <w:rFonts w:hint="default" w:ascii="Times New Roman" w:hAnsi="Times New Roman" w:eastAsia="楷体_GB2312" w:cs="Times New Roman"/>
          <w:b w:val="0"/>
          <w:bCs w:val="0"/>
          <w:color w:val="auto"/>
          <w:sz w:val="32"/>
          <w:szCs w:val="32"/>
        </w:rPr>
        <w:t>2025年</w:t>
      </w:r>
      <w:r>
        <w:rPr>
          <w:rFonts w:hint="default" w:ascii="Times New Roman" w:hAnsi="Times New Roman" w:eastAsia="楷体_GB2312" w:cs="Times New Roman"/>
          <w:b w:val="0"/>
          <w:bCs w:val="0"/>
          <w:color w:val="auto"/>
          <w:sz w:val="32"/>
          <w:szCs w:val="32"/>
          <w:lang w:val="en-US" w:eastAsia="zh-CN"/>
        </w:rPr>
        <w:t>10</w:t>
      </w:r>
      <w:r>
        <w:rPr>
          <w:rFonts w:hint="default" w:ascii="Times New Roman" w:hAnsi="Times New Roman" w:eastAsia="楷体_GB2312" w:cs="Times New Roman"/>
          <w:b w:val="0"/>
          <w:bCs w:val="0"/>
          <w:color w:val="auto"/>
          <w:sz w:val="32"/>
          <w:szCs w:val="32"/>
        </w:rPr>
        <w:t>月</w:t>
      </w:r>
      <w:r>
        <w:rPr>
          <w:rFonts w:hint="default" w:ascii="Times New Roman" w:hAnsi="Times New Roman" w:eastAsia="楷体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对照示范区创建评价指标，</w:t>
      </w:r>
      <w:r>
        <w:rPr>
          <w:rFonts w:hint="default" w:ascii="Times New Roman" w:hAnsi="Times New Roman" w:eastAsia="仿宋_GB2312" w:cs="Times New Roman"/>
          <w:b w:val="0"/>
          <w:bCs w:val="0"/>
          <w:color w:val="auto"/>
          <w:sz w:val="32"/>
          <w:szCs w:val="32"/>
          <w:lang w:eastAsia="zh-CN"/>
        </w:rPr>
        <w:t>按期</w:t>
      </w:r>
      <w:r>
        <w:rPr>
          <w:rFonts w:hint="default" w:ascii="Times New Roman" w:hAnsi="Times New Roman" w:eastAsia="仿宋_GB2312" w:cs="Times New Roman"/>
          <w:b w:val="0"/>
          <w:bCs w:val="0"/>
          <w:color w:val="auto"/>
          <w:sz w:val="32"/>
          <w:szCs w:val="32"/>
        </w:rPr>
        <w:t>组织开展自我评价</w:t>
      </w:r>
      <w:r>
        <w:rPr>
          <w:rFonts w:hint="default" w:ascii="Times New Roman" w:hAnsi="Times New Roman" w:eastAsia="仿宋_GB2312" w:cs="Times New Roman"/>
          <w:b w:val="0"/>
          <w:bCs w:val="0"/>
          <w:color w:val="auto"/>
          <w:sz w:val="32"/>
          <w:szCs w:val="32"/>
          <w:lang w:eastAsia="zh-CN"/>
        </w:rPr>
        <w:t>，适时</w:t>
      </w:r>
      <w:r>
        <w:rPr>
          <w:rFonts w:hint="default" w:ascii="Times New Roman" w:hAnsi="Times New Roman" w:eastAsia="仿宋_GB2312" w:cs="Times New Roman"/>
          <w:b w:val="0"/>
          <w:bCs w:val="0"/>
          <w:color w:val="auto"/>
          <w:sz w:val="32"/>
          <w:szCs w:val="32"/>
        </w:rPr>
        <w:t>邀请省市领导和专家实地检查指导示范区创建工作，根据检查意见和建议，</w:t>
      </w:r>
      <w:r>
        <w:rPr>
          <w:rFonts w:hint="default" w:ascii="Times New Roman" w:hAnsi="Times New Roman" w:eastAsia="仿宋_GB2312" w:cs="Times New Roman"/>
          <w:b w:val="0"/>
          <w:bCs w:val="0"/>
          <w:color w:val="auto"/>
          <w:sz w:val="32"/>
          <w:szCs w:val="32"/>
          <w:lang w:eastAsia="zh-CN"/>
        </w:rPr>
        <w:t>推进</w:t>
      </w:r>
      <w:r>
        <w:rPr>
          <w:rFonts w:hint="default" w:ascii="Times New Roman" w:hAnsi="Times New Roman" w:eastAsia="仿宋_GB2312" w:cs="Times New Roman"/>
          <w:b w:val="0"/>
          <w:bCs w:val="0"/>
          <w:color w:val="auto"/>
          <w:sz w:val="32"/>
          <w:szCs w:val="32"/>
        </w:rPr>
        <w:t>整改提升。通过创建活动开展，实现全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网络市场</w:t>
      </w:r>
      <w:r>
        <w:rPr>
          <w:rFonts w:hint="default" w:ascii="Times New Roman" w:hAnsi="Times New Roman" w:eastAsia="仿宋_GB2312" w:cs="Times New Roman"/>
          <w:b w:val="0"/>
          <w:bCs w:val="0"/>
          <w:color w:val="auto"/>
          <w:sz w:val="32"/>
          <w:szCs w:val="32"/>
          <w:lang w:eastAsia="zh-CN"/>
        </w:rPr>
        <w:t>规模</w:t>
      </w:r>
      <w:r>
        <w:rPr>
          <w:rFonts w:hint="default" w:ascii="Times New Roman" w:hAnsi="Times New Roman" w:eastAsia="仿宋_GB2312" w:cs="Times New Roman"/>
          <w:b w:val="0"/>
          <w:bCs w:val="0"/>
          <w:color w:val="auto"/>
          <w:sz w:val="32"/>
          <w:szCs w:val="32"/>
        </w:rPr>
        <w:t>、网络监管</w:t>
      </w:r>
      <w:r>
        <w:rPr>
          <w:rFonts w:hint="default" w:ascii="Times New Roman" w:hAnsi="Times New Roman" w:eastAsia="仿宋_GB2312" w:cs="Times New Roman"/>
          <w:b w:val="0"/>
          <w:bCs w:val="0"/>
          <w:color w:val="auto"/>
          <w:sz w:val="32"/>
          <w:szCs w:val="32"/>
          <w:lang w:eastAsia="zh-CN"/>
        </w:rPr>
        <w:t>成效</w:t>
      </w:r>
      <w:r>
        <w:rPr>
          <w:rFonts w:hint="default" w:ascii="Times New Roman" w:hAnsi="Times New Roman" w:eastAsia="仿宋_GB2312" w:cs="Times New Roman"/>
          <w:b w:val="0"/>
          <w:bCs w:val="0"/>
          <w:color w:val="auto"/>
          <w:sz w:val="32"/>
          <w:szCs w:val="32"/>
        </w:rPr>
        <w:t>、网络服务</w:t>
      </w:r>
      <w:r>
        <w:rPr>
          <w:rFonts w:hint="default" w:ascii="Times New Roman" w:hAnsi="Times New Roman" w:eastAsia="仿宋_GB2312" w:cs="Times New Roman"/>
          <w:b w:val="0"/>
          <w:bCs w:val="0"/>
          <w:color w:val="auto"/>
          <w:sz w:val="32"/>
          <w:szCs w:val="32"/>
          <w:lang w:eastAsia="zh-CN"/>
        </w:rPr>
        <w:t>水平</w:t>
      </w:r>
      <w:r>
        <w:rPr>
          <w:rFonts w:hint="default" w:ascii="Times New Roman" w:hAnsi="Times New Roman" w:eastAsia="仿宋_GB2312" w:cs="Times New Roman"/>
          <w:b w:val="0"/>
          <w:bCs w:val="0"/>
          <w:color w:val="auto"/>
          <w:sz w:val="32"/>
          <w:szCs w:val="32"/>
        </w:rPr>
        <w:t>、网络发展</w:t>
      </w:r>
      <w:r>
        <w:rPr>
          <w:rFonts w:hint="default" w:ascii="Times New Roman" w:hAnsi="Times New Roman" w:eastAsia="仿宋_GB2312" w:cs="Times New Roman"/>
          <w:b w:val="0"/>
          <w:bCs w:val="0"/>
          <w:color w:val="auto"/>
          <w:sz w:val="32"/>
          <w:szCs w:val="32"/>
          <w:lang w:eastAsia="zh-CN"/>
        </w:rPr>
        <w:t>层次全方位提升</w:t>
      </w:r>
      <w:r>
        <w:rPr>
          <w:rFonts w:hint="default" w:ascii="Times New Roman" w:hAnsi="Times New Roman" w:eastAsia="仿宋_GB2312" w:cs="Times New Roman"/>
          <w:b w:val="0"/>
          <w:bCs w:val="0"/>
          <w:color w:val="auto"/>
          <w:sz w:val="32"/>
          <w:szCs w:val="32"/>
        </w:rPr>
        <w:t>，并形成可复制、可推广经验。</w:t>
      </w:r>
    </w:p>
    <w:p w14:paraId="5622DD82">
      <w:pPr>
        <w:keepNext w:val="0"/>
        <w:keepLines w:val="0"/>
        <w:pageBreakBefore w:val="0"/>
        <w:widowControl w:val="0"/>
        <w:kinsoku/>
        <w:wordWrap/>
        <w:overflowPunct/>
        <w:topLinePunct w:val="0"/>
        <w:autoSpaceDE/>
        <w:autoSpaceDN/>
        <w:bidi w:val="0"/>
        <w:adjustRightInd w:val="0"/>
        <w:snapToGrid w:val="0"/>
        <w:spacing w:line="576" w:lineRule="exact"/>
        <w:ind w:firstLine="640" w:firstLineChars="200"/>
        <w:textAlignment w:val="auto"/>
        <w:outlineLvl w:val="9"/>
        <w:rPr>
          <w:rFonts w:hint="default" w:ascii="Times New Roman" w:hAnsi="Times New Roman" w:eastAsia="黑体" w:cs="Times New Roman"/>
          <w:b w:val="0"/>
          <w:bCs w:val="0"/>
          <w:color w:val="auto"/>
          <w:sz w:val="32"/>
          <w:szCs w:val="32"/>
        </w:rPr>
      </w:pPr>
      <w:r>
        <w:rPr>
          <w:rFonts w:hint="default" w:ascii="Times New Roman" w:hAnsi="Times New Roman" w:eastAsia="黑体" w:cs="Times New Roman"/>
          <w:b w:val="0"/>
          <w:bCs w:val="0"/>
          <w:color w:val="auto"/>
          <w:sz w:val="32"/>
          <w:szCs w:val="32"/>
        </w:rPr>
        <w:t>五、工作保障</w:t>
      </w:r>
    </w:p>
    <w:p w14:paraId="664F51F9">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（一）加强组织领导。</w:t>
      </w:r>
      <w:r>
        <w:rPr>
          <w:rFonts w:hint="default" w:ascii="Times New Roman" w:hAnsi="Times New Roman" w:eastAsia="仿宋_GB2312" w:cs="Times New Roman"/>
          <w:b w:val="0"/>
          <w:bCs w:val="0"/>
          <w:color w:val="auto"/>
          <w:sz w:val="32"/>
          <w:szCs w:val="32"/>
        </w:rPr>
        <w:t>将网络市场监管与服务相关工作列入</w:t>
      </w:r>
      <w:r>
        <w:rPr>
          <w:rFonts w:hint="default" w:ascii="Times New Roman" w:hAnsi="Times New Roman" w:eastAsia="仿宋_GB2312" w:cs="Times New Roman"/>
          <w:b w:val="0"/>
          <w:bCs w:val="0"/>
          <w:color w:val="auto"/>
          <w:sz w:val="32"/>
          <w:szCs w:val="32"/>
          <w:lang w:eastAsia="zh-CN"/>
        </w:rPr>
        <w:t>区管委</w:t>
      </w:r>
      <w:r>
        <w:rPr>
          <w:rFonts w:hint="default" w:ascii="Times New Roman" w:hAnsi="Times New Roman" w:eastAsia="仿宋_GB2312" w:cs="Times New Roman"/>
          <w:b w:val="0"/>
          <w:bCs w:val="0"/>
          <w:color w:val="auto"/>
          <w:sz w:val="32"/>
          <w:szCs w:val="32"/>
        </w:rPr>
        <w:t>重点工作规划，成立由</w:t>
      </w:r>
      <w:r>
        <w:rPr>
          <w:rFonts w:hint="default" w:ascii="Times New Roman" w:hAnsi="Times New Roman" w:eastAsia="仿宋_GB2312" w:cs="Times New Roman"/>
          <w:b w:val="0"/>
          <w:bCs w:val="0"/>
          <w:color w:val="auto"/>
          <w:sz w:val="32"/>
          <w:szCs w:val="32"/>
          <w:lang w:eastAsia="zh-CN"/>
        </w:rPr>
        <w:t>区管委</w:t>
      </w:r>
      <w:r>
        <w:rPr>
          <w:rFonts w:hint="default" w:ascii="Times New Roman" w:hAnsi="Times New Roman" w:eastAsia="仿宋_GB2312" w:cs="Times New Roman"/>
          <w:b w:val="0"/>
          <w:bCs w:val="0"/>
          <w:color w:val="auto"/>
          <w:sz w:val="32"/>
          <w:szCs w:val="32"/>
        </w:rPr>
        <w:t>主要领导任组长，</w:t>
      </w:r>
      <w:r>
        <w:rPr>
          <w:rFonts w:hint="default" w:ascii="Times New Roman" w:hAnsi="Times New Roman" w:eastAsia="仿宋_GB2312" w:cs="Times New Roman"/>
          <w:b w:val="0"/>
          <w:bCs w:val="0"/>
          <w:color w:val="auto"/>
          <w:sz w:val="32"/>
          <w:szCs w:val="32"/>
          <w:lang w:eastAsia="zh-CN"/>
        </w:rPr>
        <w:t>区管委</w:t>
      </w:r>
      <w:r>
        <w:rPr>
          <w:rFonts w:hint="default" w:ascii="Times New Roman" w:hAnsi="Times New Roman" w:eastAsia="仿宋_GB2312" w:cs="Times New Roman"/>
          <w:b w:val="0"/>
          <w:bCs w:val="0"/>
          <w:color w:val="auto"/>
          <w:sz w:val="32"/>
          <w:szCs w:val="32"/>
        </w:rPr>
        <w:t>分管领导、</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市场监管局主要领导任副组长，相关部门主要领导为成员的</w:t>
      </w:r>
      <w:r>
        <w:rPr>
          <w:rFonts w:hint="default" w:ascii="Times New Roman" w:hAnsi="Times New Roman" w:eastAsia="仿宋_GB2312" w:cs="Times New Roman"/>
          <w:b w:val="0"/>
          <w:bCs w:val="0"/>
          <w:color w:val="auto"/>
          <w:sz w:val="32"/>
          <w:szCs w:val="32"/>
          <w:lang w:eastAsia="zh-CN"/>
        </w:rPr>
        <w:t>临港区</w:t>
      </w:r>
      <w:r>
        <w:rPr>
          <w:rFonts w:hint="default" w:ascii="Times New Roman" w:hAnsi="Times New Roman" w:eastAsia="仿宋_GB2312" w:cs="Times New Roman"/>
          <w:b w:val="0"/>
          <w:bCs w:val="0"/>
          <w:color w:val="auto"/>
          <w:sz w:val="32"/>
          <w:szCs w:val="32"/>
        </w:rPr>
        <w:t>市创建全</w:t>
      </w:r>
      <w:r>
        <w:rPr>
          <w:rFonts w:hint="default" w:ascii="Times New Roman" w:hAnsi="Times New Roman" w:eastAsia="仿宋_GB2312" w:cs="Times New Roman"/>
          <w:b w:val="0"/>
          <w:bCs w:val="0"/>
          <w:color w:val="auto"/>
          <w:sz w:val="32"/>
          <w:szCs w:val="32"/>
          <w:lang w:eastAsia="zh-CN"/>
        </w:rPr>
        <w:t>省</w:t>
      </w:r>
      <w:r>
        <w:rPr>
          <w:rFonts w:hint="default" w:ascii="Times New Roman" w:hAnsi="Times New Roman" w:eastAsia="仿宋_GB2312" w:cs="Times New Roman"/>
          <w:b w:val="0"/>
          <w:bCs w:val="0"/>
          <w:color w:val="auto"/>
          <w:sz w:val="32"/>
          <w:szCs w:val="32"/>
        </w:rPr>
        <w:t>“网络市场监管与服务示范区”工作领导小组，统筹推动网络市场监管与服务工作的组织实施。领导小组办公室设在</w:t>
      </w:r>
      <w:r>
        <w:rPr>
          <w:rFonts w:hint="default" w:ascii="Times New Roman" w:hAnsi="Times New Roman" w:eastAsia="仿宋_GB2312" w:cs="Times New Roman"/>
          <w:b w:val="0"/>
          <w:bCs w:val="0"/>
          <w:color w:val="auto"/>
          <w:sz w:val="32"/>
          <w:szCs w:val="32"/>
          <w:lang w:eastAsia="zh-CN"/>
        </w:rPr>
        <w:t>区</w:t>
      </w:r>
      <w:r>
        <w:rPr>
          <w:rFonts w:hint="default" w:ascii="Times New Roman" w:hAnsi="Times New Roman" w:eastAsia="仿宋_GB2312" w:cs="Times New Roman"/>
          <w:b w:val="0"/>
          <w:bCs w:val="0"/>
          <w:color w:val="auto"/>
          <w:sz w:val="32"/>
          <w:szCs w:val="32"/>
        </w:rPr>
        <w:t>市场监管局，负责协调推进示范区创建工作。</w:t>
      </w:r>
    </w:p>
    <w:p w14:paraId="080177A7">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（二）建立工作机制。</w:t>
      </w:r>
      <w:r>
        <w:rPr>
          <w:rFonts w:hint="default" w:ascii="Times New Roman" w:hAnsi="Times New Roman" w:eastAsia="仿宋_GB2312" w:cs="Times New Roman"/>
          <w:b w:val="0"/>
          <w:bCs w:val="0"/>
          <w:color w:val="auto"/>
          <w:sz w:val="32"/>
          <w:szCs w:val="32"/>
        </w:rPr>
        <w:t>建立健全网络市场监管与服务相关工作机制，根据总体方案，制定实施细则，明确相关部门工作职责、创建任务、进度安排等内容。通过督查、考评等手段，有力有序推进网络市场监管与服务工作目标任务的落实。</w:t>
      </w:r>
    </w:p>
    <w:p w14:paraId="4C3E0629">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outlineLvl w:val="9"/>
        <w:rPr>
          <w:rFonts w:hint="default" w:ascii="Times New Roman" w:hAnsi="Times New Roman" w:eastAsia="仿宋_GB2312" w:cs="Times New Roman"/>
          <w:b w:val="0"/>
          <w:bCs w:val="0"/>
          <w:color w:val="auto"/>
          <w:sz w:val="32"/>
          <w:szCs w:val="32"/>
        </w:rPr>
      </w:pPr>
      <w:r>
        <w:rPr>
          <w:rFonts w:hint="default" w:ascii="Times New Roman" w:hAnsi="Times New Roman" w:eastAsia="楷体_GB2312" w:cs="Times New Roman"/>
          <w:b w:val="0"/>
          <w:bCs w:val="0"/>
          <w:color w:val="auto"/>
          <w:sz w:val="32"/>
          <w:szCs w:val="32"/>
        </w:rPr>
        <w:t>（三）加强宣传报道。</w:t>
      </w:r>
      <w:r>
        <w:rPr>
          <w:rFonts w:hint="default" w:ascii="Times New Roman" w:hAnsi="Times New Roman" w:eastAsia="仿宋_GB2312" w:cs="Times New Roman"/>
          <w:b w:val="0"/>
          <w:bCs w:val="0"/>
          <w:color w:val="auto"/>
          <w:sz w:val="32"/>
          <w:szCs w:val="32"/>
        </w:rPr>
        <w:t>强化普法宣传，多形式、多举措开展网络市场监管与服务普法活动，营造良好社会氛围。对于创建网络市场监管与服务过程中的工作举措、工作成果、典型经验及时做好宣传推广，不断提升创建水平。</w:t>
      </w:r>
    </w:p>
    <w:p w14:paraId="3ACEF26E">
      <w:pPr>
        <w:keepNext w:val="0"/>
        <w:keepLines w:val="0"/>
        <w:pageBreakBefore w:val="0"/>
        <w:widowControl w:val="0"/>
        <w:kinsoku/>
        <w:wordWrap/>
        <w:overflowPunct/>
        <w:topLinePunct w:val="0"/>
        <w:autoSpaceDE/>
        <w:autoSpaceDN/>
        <w:bidi w:val="0"/>
        <w:adjustRightInd/>
        <w:snapToGrid/>
        <w:spacing w:line="579" w:lineRule="exact"/>
        <w:ind w:firstLine="640" w:firstLineChars="200"/>
        <w:textAlignment w:val="auto"/>
        <w:rPr>
          <w:rFonts w:hint="eastAsia" w:ascii="Times New Roman" w:hAnsi="Times New Roman" w:eastAsia="仿宋_GB2312" w:cs="Times New Roman"/>
          <w:color w:val="auto"/>
          <w:sz w:val="32"/>
          <w:szCs w:val="32"/>
        </w:rPr>
      </w:pPr>
    </w:p>
    <w:p w14:paraId="4F3D76A9">
      <w:pPr>
        <w:keepNext w:val="0"/>
        <w:keepLines w:val="0"/>
        <w:pageBreakBefore w:val="0"/>
        <w:widowControl w:val="0"/>
        <w:kinsoku/>
        <w:wordWrap/>
        <w:overflowPunct/>
        <w:topLinePunct w:val="0"/>
        <w:autoSpaceDE/>
        <w:autoSpaceDN/>
        <w:bidi w:val="0"/>
        <w:adjustRightInd/>
        <w:snapToGrid/>
        <w:spacing w:line="579" w:lineRule="exact"/>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附件：1</w:t>
      </w:r>
      <w:r>
        <w:rPr>
          <w:rFonts w:hint="eastAsia" w:ascii="Times New Roman" w:hAnsi="Times New Roman" w:cs="Times New Roman"/>
          <w:color w:val="auto"/>
          <w:sz w:val="32"/>
          <w:szCs w:val="32"/>
          <w:lang w:eastAsia="zh-CN"/>
        </w:rPr>
        <w:t>．</w:t>
      </w:r>
      <w:r>
        <w:rPr>
          <w:rFonts w:hint="eastAsia" w:ascii="Times New Roman" w:hAnsi="Times New Roman" w:eastAsia="仿宋_GB2312" w:cs="Times New Roman"/>
          <w:color w:val="auto"/>
          <w:sz w:val="32"/>
          <w:szCs w:val="32"/>
        </w:rPr>
        <w:t>全</w:t>
      </w:r>
      <w:r>
        <w:rPr>
          <w:rFonts w:hint="eastAsia" w:ascii="Times New Roman" w:hAnsi="Times New Roman" w:eastAsia="仿宋_GB2312" w:cs="Times New Roman"/>
          <w:color w:val="auto"/>
          <w:sz w:val="32"/>
          <w:szCs w:val="32"/>
          <w:lang w:eastAsia="zh-CN"/>
        </w:rPr>
        <w:t>省</w:t>
      </w:r>
      <w:r>
        <w:rPr>
          <w:rFonts w:hint="eastAsia" w:ascii="Times New Roman" w:hAnsi="Times New Roman" w:eastAsia="仿宋_GB2312" w:cs="Times New Roman"/>
          <w:color w:val="auto"/>
          <w:sz w:val="32"/>
          <w:szCs w:val="32"/>
        </w:rPr>
        <w:t>网络市场监管与服务示范区创建评估指标</w:t>
      </w:r>
    </w:p>
    <w:p w14:paraId="48450046">
      <w:pPr>
        <w:keepNext w:val="0"/>
        <w:keepLines w:val="0"/>
        <w:pageBreakBefore w:val="0"/>
        <w:widowControl w:val="0"/>
        <w:kinsoku/>
        <w:wordWrap/>
        <w:overflowPunct/>
        <w:topLinePunct w:val="0"/>
        <w:autoSpaceDE/>
        <w:autoSpaceDN/>
        <w:bidi w:val="0"/>
        <w:adjustRightInd/>
        <w:snapToGrid/>
        <w:spacing w:line="579" w:lineRule="exact"/>
        <w:textAlignment w:val="auto"/>
        <w:rPr>
          <w:rFonts w:hint="eastAsia" w:ascii="Times New Roman" w:hAnsi="Times New Roman" w:eastAsia="仿宋_GB2312" w:cs="Times New Roman"/>
          <w:color w:val="auto"/>
          <w:sz w:val="32"/>
          <w:szCs w:val="32"/>
        </w:rPr>
      </w:pPr>
      <w:r>
        <w:rPr>
          <w:rFonts w:hint="eastAsia" w:ascii="Times New Roman" w:hAnsi="Times New Roman" w:cs="Times New Roman"/>
          <w:color w:val="auto"/>
          <w:sz w:val="32"/>
          <w:szCs w:val="32"/>
          <w:lang w:val="en-US" w:eastAsia="zh-CN"/>
        </w:rPr>
        <w:t xml:space="preserve">         </w:t>
      </w:r>
      <w:r>
        <w:rPr>
          <w:rFonts w:hint="eastAsia" w:ascii="Times New Roman" w:hAnsi="Times New Roman" w:eastAsia="仿宋_GB2312" w:cs="Times New Roman"/>
          <w:color w:val="auto"/>
          <w:sz w:val="32"/>
          <w:szCs w:val="32"/>
        </w:rPr>
        <w:t>体系任务分工表</w:t>
      </w:r>
    </w:p>
    <w:p w14:paraId="3357A13D">
      <w:pPr>
        <w:keepNext w:val="0"/>
        <w:keepLines w:val="0"/>
        <w:pageBreakBefore w:val="0"/>
        <w:widowControl w:val="0"/>
        <w:kinsoku/>
        <w:wordWrap/>
        <w:overflowPunct/>
        <w:topLinePunct w:val="0"/>
        <w:autoSpaceDE/>
        <w:autoSpaceDN/>
        <w:bidi w:val="0"/>
        <w:adjustRightInd w:val="0"/>
        <w:snapToGrid w:val="0"/>
        <w:spacing w:line="579" w:lineRule="exact"/>
        <w:textAlignment w:val="auto"/>
        <w:rPr>
          <w:rFonts w:hint="default" w:ascii="Times New Roman" w:hAnsi="Times New Roman" w:eastAsia="仿宋_GB2312" w:cs="Times New Roman"/>
          <w:color w:val="auto"/>
          <w:sz w:val="32"/>
          <w:szCs w:val="32"/>
          <w:lang w:val="en-US" w:eastAsia="zh-CN"/>
        </w:rPr>
      </w:pPr>
    </w:p>
    <w:p w14:paraId="204ACBCE">
      <w:pPr>
        <w:pStyle w:val="2"/>
        <w:rPr>
          <w:rFonts w:hint="default" w:ascii="Times New Roman" w:hAnsi="Times New Roman" w:eastAsia="黑体" w:cs="Times New Roman"/>
          <w:w w:val="93"/>
          <w:sz w:val="32"/>
          <w:szCs w:val="32"/>
          <w:lang w:eastAsia="zh-CN"/>
        </w:rPr>
      </w:pPr>
    </w:p>
    <w:p w14:paraId="775F1917">
      <w:pPr>
        <w:pStyle w:val="2"/>
        <w:rPr>
          <w:rFonts w:hint="default" w:ascii="Times New Roman" w:hAnsi="Times New Roman" w:eastAsia="黑体" w:cs="Times New Roman"/>
          <w:w w:val="93"/>
          <w:sz w:val="32"/>
          <w:szCs w:val="32"/>
          <w:lang w:eastAsia="zh-CN"/>
        </w:rPr>
      </w:pPr>
    </w:p>
    <w:p w14:paraId="66A5AD02">
      <w:pPr>
        <w:pStyle w:val="2"/>
        <w:rPr>
          <w:rFonts w:hint="default" w:ascii="Times New Roman" w:hAnsi="Times New Roman" w:eastAsia="黑体" w:cs="Times New Roman"/>
          <w:w w:val="93"/>
          <w:sz w:val="32"/>
          <w:szCs w:val="32"/>
          <w:lang w:eastAsia="zh-CN"/>
        </w:rPr>
      </w:pPr>
    </w:p>
    <w:p w14:paraId="140EC9C9">
      <w:pPr>
        <w:pStyle w:val="2"/>
        <w:rPr>
          <w:rFonts w:hint="default" w:ascii="Times New Roman" w:hAnsi="Times New Roman" w:eastAsia="黑体" w:cs="Times New Roman"/>
          <w:w w:val="93"/>
          <w:sz w:val="32"/>
          <w:szCs w:val="32"/>
          <w:lang w:eastAsia="zh-CN"/>
        </w:rPr>
      </w:pPr>
    </w:p>
    <w:p w14:paraId="3E64B1A2">
      <w:pPr>
        <w:pStyle w:val="2"/>
        <w:rPr>
          <w:rFonts w:hint="default" w:ascii="Times New Roman" w:hAnsi="Times New Roman" w:eastAsia="黑体" w:cs="Times New Roman"/>
          <w:w w:val="93"/>
          <w:sz w:val="32"/>
          <w:szCs w:val="32"/>
          <w:lang w:eastAsia="zh-CN"/>
        </w:rPr>
      </w:pPr>
    </w:p>
    <w:p w14:paraId="020C8991">
      <w:pPr>
        <w:pStyle w:val="2"/>
        <w:rPr>
          <w:rFonts w:hint="default" w:ascii="Times New Roman" w:hAnsi="Times New Roman" w:eastAsia="黑体" w:cs="Times New Roman"/>
          <w:w w:val="93"/>
          <w:sz w:val="32"/>
          <w:szCs w:val="32"/>
          <w:lang w:eastAsia="zh-CN"/>
        </w:rPr>
      </w:pPr>
    </w:p>
    <w:p w14:paraId="58B39840">
      <w:pPr>
        <w:pStyle w:val="2"/>
        <w:rPr>
          <w:rFonts w:hint="default" w:ascii="Times New Roman" w:hAnsi="Times New Roman" w:eastAsia="黑体" w:cs="Times New Roman"/>
          <w:w w:val="93"/>
          <w:sz w:val="32"/>
          <w:szCs w:val="32"/>
          <w:lang w:eastAsia="zh-CN"/>
        </w:rPr>
      </w:pPr>
    </w:p>
    <w:p w14:paraId="04C59630">
      <w:pPr>
        <w:pStyle w:val="2"/>
        <w:rPr>
          <w:rFonts w:hint="default" w:ascii="Times New Roman" w:hAnsi="Times New Roman" w:eastAsia="黑体" w:cs="Times New Roman"/>
          <w:w w:val="93"/>
          <w:sz w:val="32"/>
          <w:szCs w:val="32"/>
          <w:lang w:eastAsia="zh-CN"/>
        </w:rPr>
      </w:pPr>
    </w:p>
    <w:p w14:paraId="2A946A55">
      <w:pPr>
        <w:pStyle w:val="2"/>
        <w:rPr>
          <w:rFonts w:hint="default" w:ascii="Times New Roman" w:hAnsi="Times New Roman" w:eastAsia="黑体" w:cs="Times New Roman"/>
          <w:w w:val="93"/>
          <w:sz w:val="32"/>
          <w:szCs w:val="32"/>
          <w:lang w:eastAsia="zh-CN"/>
        </w:rPr>
      </w:pPr>
    </w:p>
    <w:p w14:paraId="2AD6DA31">
      <w:pPr>
        <w:pStyle w:val="2"/>
        <w:rPr>
          <w:rFonts w:hint="default" w:ascii="Times New Roman" w:hAnsi="Times New Roman" w:eastAsia="黑体" w:cs="Times New Roman"/>
          <w:w w:val="93"/>
          <w:sz w:val="32"/>
          <w:szCs w:val="32"/>
          <w:lang w:eastAsia="zh-CN"/>
        </w:rPr>
      </w:pPr>
    </w:p>
    <w:p w14:paraId="205C4D70">
      <w:pPr>
        <w:pStyle w:val="2"/>
        <w:rPr>
          <w:rFonts w:hint="default" w:ascii="Times New Roman" w:hAnsi="Times New Roman" w:eastAsia="黑体" w:cs="Times New Roman"/>
          <w:w w:val="93"/>
          <w:sz w:val="32"/>
          <w:szCs w:val="32"/>
          <w:lang w:eastAsia="zh-CN"/>
        </w:rPr>
      </w:pPr>
    </w:p>
    <w:p w14:paraId="166C3CEC">
      <w:pPr>
        <w:pStyle w:val="2"/>
        <w:rPr>
          <w:rFonts w:hint="default" w:ascii="Times New Roman" w:hAnsi="Times New Roman" w:eastAsia="黑体" w:cs="Times New Roman"/>
          <w:w w:val="93"/>
          <w:sz w:val="32"/>
          <w:szCs w:val="32"/>
          <w:lang w:eastAsia="zh-CN"/>
        </w:rPr>
      </w:pPr>
    </w:p>
    <w:p w14:paraId="346F1D8F">
      <w:pPr>
        <w:pStyle w:val="2"/>
        <w:rPr>
          <w:rFonts w:hint="default" w:ascii="Times New Roman" w:hAnsi="Times New Roman" w:eastAsia="黑体" w:cs="Times New Roman"/>
          <w:w w:val="93"/>
          <w:sz w:val="32"/>
          <w:szCs w:val="32"/>
          <w:lang w:eastAsia="zh-CN"/>
        </w:rPr>
      </w:pPr>
    </w:p>
    <w:p w14:paraId="7CD4D9EE">
      <w:pPr>
        <w:pStyle w:val="2"/>
        <w:rPr>
          <w:rFonts w:hint="default" w:ascii="Times New Roman" w:hAnsi="Times New Roman" w:eastAsia="黑体" w:cs="Times New Roman"/>
          <w:w w:val="93"/>
          <w:sz w:val="32"/>
          <w:szCs w:val="32"/>
          <w:lang w:eastAsia="zh-CN"/>
        </w:rPr>
      </w:pPr>
    </w:p>
    <w:p w14:paraId="7CA11382">
      <w:pPr>
        <w:pStyle w:val="2"/>
        <w:rPr>
          <w:rFonts w:hint="default" w:ascii="Times New Roman" w:hAnsi="Times New Roman" w:eastAsia="黑体" w:cs="Times New Roman"/>
          <w:w w:val="93"/>
          <w:sz w:val="32"/>
          <w:szCs w:val="32"/>
          <w:lang w:eastAsia="zh-CN"/>
        </w:rPr>
      </w:pPr>
    </w:p>
    <w:p w14:paraId="7CDB3C96">
      <w:pPr>
        <w:pStyle w:val="2"/>
        <w:rPr>
          <w:rFonts w:hint="default" w:ascii="Times New Roman" w:hAnsi="Times New Roman" w:eastAsia="黑体" w:cs="Times New Roman"/>
          <w:w w:val="93"/>
          <w:sz w:val="32"/>
          <w:szCs w:val="32"/>
          <w:lang w:eastAsia="zh-CN"/>
        </w:rPr>
      </w:pPr>
    </w:p>
    <w:p w14:paraId="43CB974E">
      <w:pPr>
        <w:pStyle w:val="2"/>
        <w:rPr>
          <w:rFonts w:hint="default" w:ascii="Times New Roman" w:hAnsi="Times New Roman" w:eastAsia="黑体" w:cs="Times New Roman"/>
          <w:w w:val="93"/>
          <w:sz w:val="32"/>
          <w:szCs w:val="32"/>
          <w:lang w:eastAsia="zh-CN"/>
        </w:rPr>
      </w:pPr>
    </w:p>
    <w:p w14:paraId="27C97C7F">
      <w:pPr>
        <w:spacing w:before="104" w:line="225" w:lineRule="auto"/>
        <w:rPr>
          <w:rFonts w:hint="eastAsia" w:ascii="Times New Roman" w:hAnsi="Times New Roman" w:eastAsia="黑体" w:cs="黑体"/>
          <w:sz w:val="32"/>
          <w:szCs w:val="32"/>
          <w:lang w:val="en-US" w:eastAsia="zh-CN"/>
        </w:rPr>
      </w:pPr>
      <w:r>
        <w:rPr>
          <w:rFonts w:ascii="Times New Roman" w:hAnsi="Times New Roman" w:eastAsia="黑体" w:cs="黑体"/>
          <w:spacing w:val="-10"/>
          <w:sz w:val="32"/>
          <w:szCs w:val="32"/>
        </w:rPr>
        <w:t>附件</w:t>
      </w:r>
      <w:r>
        <w:rPr>
          <w:rFonts w:hint="eastAsia" w:eastAsia="黑体" w:cs="黑体"/>
          <w:spacing w:val="-10"/>
          <w:sz w:val="32"/>
          <w:szCs w:val="32"/>
          <w:lang w:val="en-US" w:eastAsia="zh-CN"/>
        </w:rPr>
        <w:t>1</w:t>
      </w:r>
    </w:p>
    <w:p w14:paraId="1AC7F1AA">
      <w:pPr>
        <w:spacing w:line="266" w:lineRule="auto"/>
        <w:rPr>
          <w:rFonts w:ascii="Times New Roman" w:hAnsi="Times New Roman"/>
          <w:sz w:val="21"/>
        </w:rPr>
      </w:pPr>
    </w:p>
    <w:p w14:paraId="2B395BC7">
      <w:pPr>
        <w:keepNext w:val="0"/>
        <w:keepLines w:val="0"/>
        <w:pageBreakBefore w:val="0"/>
        <w:widowControl w:val="0"/>
        <w:kinsoku/>
        <w:wordWrap/>
        <w:overflowPunct/>
        <w:topLinePunct w:val="0"/>
        <w:autoSpaceDE/>
        <w:autoSpaceDN/>
        <w:bidi w:val="0"/>
        <w:adjustRightInd/>
        <w:snapToGrid/>
        <w:spacing w:line="579" w:lineRule="exact"/>
        <w:jc w:val="center"/>
        <w:textAlignment w:val="auto"/>
        <w:rPr>
          <w:rFonts w:hint="eastAsia" w:ascii="Times New Roman" w:hAnsi="Times New Roman" w:eastAsia="方正小标宋简体" w:cs="Times New Roman"/>
          <w:snapToGrid/>
          <w:color w:val="auto"/>
          <w:kern w:val="2"/>
          <w:sz w:val="44"/>
          <w:szCs w:val="44"/>
          <w:lang w:eastAsia="zh-CN"/>
        </w:rPr>
      </w:pPr>
      <w:r>
        <w:rPr>
          <w:rFonts w:hint="eastAsia" w:ascii="Times New Roman" w:hAnsi="Times New Roman" w:eastAsia="方正小标宋简体" w:cs="Times New Roman"/>
          <w:snapToGrid/>
          <w:color w:val="auto"/>
          <w:kern w:val="2"/>
          <w:sz w:val="44"/>
          <w:szCs w:val="44"/>
          <w:lang w:eastAsia="zh-CN"/>
        </w:rPr>
        <w:t>全省网络市场监管与服务示范区创建评估指标体系任务分工表</w:t>
      </w:r>
    </w:p>
    <w:p w14:paraId="1D44673B">
      <w:pPr>
        <w:spacing w:before="70"/>
        <w:rPr>
          <w:rFonts w:ascii="Times New Roman" w:hAnsi="Times New Roman"/>
        </w:rPr>
      </w:pPr>
    </w:p>
    <w:tbl>
      <w:tblPr>
        <w:tblStyle w:val="9"/>
        <w:tblW w:w="0" w:type="auto"/>
        <w:tblInd w:w="-75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5"/>
        <w:gridCol w:w="366"/>
        <w:gridCol w:w="590"/>
        <w:gridCol w:w="1740"/>
        <w:gridCol w:w="5691"/>
        <w:gridCol w:w="3900"/>
        <w:gridCol w:w="1925"/>
      </w:tblGrid>
      <w:tr w14:paraId="48F9EE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8" w:hRule="atLeast"/>
        </w:trPr>
        <w:tc>
          <w:tcPr>
            <w:tcW w:w="1025" w:type="dxa"/>
            <w:tcBorders>
              <w:top w:val="single" w:color="000000" w:sz="6" w:space="0"/>
              <w:left w:val="single" w:color="000000" w:sz="6" w:space="0"/>
            </w:tcBorders>
            <w:noWrap w:val="0"/>
            <w:vAlign w:val="center"/>
          </w:tcPr>
          <w:p w14:paraId="1E81A70B">
            <w:pPr>
              <w:jc w:val="center"/>
              <w:rPr>
                <w:rFonts w:hint="eastAsia" w:ascii="Times New Roman" w:hAnsi="Times New Roman" w:eastAsia="黑体" w:cs="黑体"/>
              </w:rPr>
            </w:pPr>
            <w:r>
              <w:rPr>
                <w:rFonts w:hint="eastAsia" w:ascii="Times New Roman" w:hAnsi="Times New Roman" w:eastAsia="黑体" w:cs="黑体"/>
              </w:rPr>
              <w:t>一级</w:t>
            </w:r>
          </w:p>
          <w:p w14:paraId="633CE66A">
            <w:pPr>
              <w:jc w:val="center"/>
              <w:rPr>
                <w:rFonts w:hint="eastAsia" w:ascii="Times New Roman" w:hAnsi="Times New Roman" w:eastAsia="黑体" w:cs="黑体"/>
              </w:rPr>
            </w:pPr>
            <w:r>
              <w:rPr>
                <w:rFonts w:hint="eastAsia" w:ascii="Times New Roman" w:hAnsi="Times New Roman" w:eastAsia="黑体" w:cs="黑体"/>
              </w:rPr>
              <w:t>指标</w:t>
            </w:r>
          </w:p>
        </w:tc>
        <w:tc>
          <w:tcPr>
            <w:tcW w:w="366" w:type="dxa"/>
            <w:tcBorders>
              <w:top w:val="single" w:color="000000" w:sz="6" w:space="0"/>
            </w:tcBorders>
            <w:noWrap w:val="0"/>
            <w:vAlign w:val="center"/>
          </w:tcPr>
          <w:p w14:paraId="03FFDFB0">
            <w:pPr>
              <w:jc w:val="center"/>
              <w:rPr>
                <w:rFonts w:hint="eastAsia" w:ascii="Times New Roman" w:hAnsi="Times New Roman" w:eastAsia="黑体" w:cs="黑体"/>
              </w:rPr>
            </w:pPr>
            <w:r>
              <w:rPr>
                <w:rFonts w:hint="eastAsia" w:ascii="Times New Roman" w:hAnsi="Times New Roman" w:eastAsia="黑体" w:cs="黑体"/>
              </w:rPr>
              <w:t>编号</w:t>
            </w:r>
          </w:p>
        </w:tc>
        <w:tc>
          <w:tcPr>
            <w:tcW w:w="590" w:type="dxa"/>
            <w:tcBorders>
              <w:top w:val="single" w:color="000000" w:sz="6" w:space="0"/>
            </w:tcBorders>
            <w:noWrap w:val="0"/>
            <w:vAlign w:val="center"/>
          </w:tcPr>
          <w:p w14:paraId="2DBF3495">
            <w:pPr>
              <w:jc w:val="center"/>
              <w:rPr>
                <w:rFonts w:hint="eastAsia" w:ascii="Times New Roman" w:hAnsi="Times New Roman" w:eastAsia="黑体" w:cs="黑体"/>
              </w:rPr>
            </w:pPr>
            <w:r>
              <w:rPr>
                <w:rFonts w:hint="eastAsia" w:ascii="Times New Roman" w:hAnsi="Times New Roman" w:eastAsia="黑体" w:cs="黑体"/>
              </w:rPr>
              <w:t>变量性质</w:t>
            </w:r>
          </w:p>
        </w:tc>
        <w:tc>
          <w:tcPr>
            <w:tcW w:w="1740" w:type="dxa"/>
            <w:tcBorders>
              <w:top w:val="single" w:color="000000" w:sz="6" w:space="0"/>
            </w:tcBorders>
            <w:noWrap w:val="0"/>
            <w:vAlign w:val="center"/>
          </w:tcPr>
          <w:p w14:paraId="624D2FE5">
            <w:pPr>
              <w:jc w:val="center"/>
              <w:rPr>
                <w:rFonts w:hint="eastAsia" w:ascii="Times New Roman" w:hAnsi="Times New Roman" w:eastAsia="黑体" w:cs="黑体"/>
              </w:rPr>
            </w:pPr>
            <w:r>
              <w:rPr>
                <w:rFonts w:hint="eastAsia" w:ascii="Times New Roman" w:hAnsi="Times New Roman" w:eastAsia="黑体" w:cs="黑体"/>
              </w:rPr>
              <w:t>三级指标</w:t>
            </w:r>
          </w:p>
        </w:tc>
        <w:tc>
          <w:tcPr>
            <w:tcW w:w="5691" w:type="dxa"/>
            <w:tcBorders>
              <w:top w:val="single" w:color="000000" w:sz="6" w:space="0"/>
            </w:tcBorders>
            <w:noWrap w:val="0"/>
            <w:vAlign w:val="center"/>
          </w:tcPr>
          <w:p w14:paraId="30B5A443">
            <w:pPr>
              <w:jc w:val="center"/>
              <w:rPr>
                <w:rFonts w:hint="eastAsia" w:ascii="Times New Roman" w:hAnsi="Times New Roman" w:eastAsia="黑体" w:cs="黑体"/>
              </w:rPr>
            </w:pPr>
            <w:r>
              <w:rPr>
                <w:rFonts w:hint="eastAsia" w:ascii="Times New Roman" w:hAnsi="Times New Roman" w:eastAsia="黑体" w:cs="黑体"/>
              </w:rPr>
              <w:t>指标说明及打分标准</w:t>
            </w:r>
          </w:p>
        </w:tc>
        <w:tc>
          <w:tcPr>
            <w:tcW w:w="3900" w:type="dxa"/>
            <w:tcBorders>
              <w:top w:val="single" w:color="000000" w:sz="6" w:space="0"/>
            </w:tcBorders>
            <w:noWrap w:val="0"/>
            <w:vAlign w:val="center"/>
          </w:tcPr>
          <w:p w14:paraId="065DEA2C">
            <w:pPr>
              <w:jc w:val="center"/>
              <w:rPr>
                <w:rFonts w:hint="eastAsia" w:ascii="Times New Roman" w:hAnsi="Times New Roman" w:eastAsia="黑体" w:cs="黑体"/>
              </w:rPr>
            </w:pPr>
            <w:r>
              <w:rPr>
                <w:rFonts w:hint="eastAsia" w:ascii="Times New Roman" w:hAnsi="Times New Roman" w:eastAsia="黑体" w:cs="黑体"/>
              </w:rPr>
              <w:t>评估方式及数据或资料来源</w:t>
            </w:r>
          </w:p>
        </w:tc>
        <w:tc>
          <w:tcPr>
            <w:tcW w:w="1925" w:type="dxa"/>
            <w:tcBorders>
              <w:top w:val="single" w:color="000000" w:sz="6" w:space="0"/>
              <w:right w:val="single" w:color="000000" w:sz="6" w:space="0"/>
            </w:tcBorders>
            <w:noWrap w:val="0"/>
            <w:vAlign w:val="center"/>
          </w:tcPr>
          <w:p w14:paraId="27839C7D">
            <w:pPr>
              <w:jc w:val="center"/>
              <w:rPr>
                <w:rFonts w:hint="eastAsia" w:ascii="Times New Roman" w:hAnsi="Times New Roman" w:eastAsia="黑体" w:cs="黑体"/>
              </w:rPr>
            </w:pPr>
            <w:r>
              <w:rPr>
                <w:rFonts w:hint="eastAsia" w:ascii="Times New Roman" w:hAnsi="Times New Roman" w:eastAsia="黑体" w:cs="黑体"/>
              </w:rPr>
              <w:t>责任单位或数据材料</w:t>
            </w:r>
          </w:p>
          <w:p w14:paraId="3A07E6D2">
            <w:pPr>
              <w:jc w:val="center"/>
              <w:rPr>
                <w:rFonts w:hint="eastAsia" w:ascii="Times New Roman" w:hAnsi="Times New Roman" w:eastAsia="黑体" w:cs="黑体"/>
              </w:rPr>
            </w:pPr>
            <w:r>
              <w:rPr>
                <w:rFonts w:hint="eastAsia" w:ascii="Times New Roman" w:hAnsi="Times New Roman" w:eastAsia="黑体" w:cs="黑体"/>
              </w:rPr>
              <w:t>提供单位</w:t>
            </w:r>
          </w:p>
        </w:tc>
      </w:tr>
      <w:tr w14:paraId="6503D6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20" w:hRule="atLeast"/>
        </w:trPr>
        <w:tc>
          <w:tcPr>
            <w:tcW w:w="1025" w:type="dxa"/>
            <w:vMerge w:val="restart"/>
            <w:tcBorders>
              <w:left w:val="single" w:color="000000" w:sz="6" w:space="0"/>
              <w:bottom w:val="nil"/>
            </w:tcBorders>
            <w:noWrap w:val="0"/>
            <w:vAlign w:val="center"/>
          </w:tcPr>
          <w:p w14:paraId="53DF39A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促进</w:t>
            </w:r>
            <w:r>
              <w:rPr>
                <w:rFonts w:hint="eastAsia" w:ascii="Times New Roman" w:hAnsi="Times New Roman" w:eastAsia="仿宋_GB2312" w:cs="仿宋_GB2312"/>
                <w:sz w:val="21"/>
                <w:szCs w:val="21"/>
              </w:rPr>
              <w:t>发展</w:t>
            </w:r>
            <w:r>
              <w:rPr>
                <w:rFonts w:hint="eastAsia" w:ascii="Times New Roman" w:hAnsi="Times New Roman" w:eastAsia="仿宋_GB2312" w:cs="仿宋_GB2312"/>
                <w:spacing w:val="-4"/>
                <w:sz w:val="21"/>
                <w:szCs w:val="21"/>
              </w:rPr>
              <w:t>（20</w:t>
            </w:r>
            <w:r>
              <w:rPr>
                <w:rFonts w:hint="eastAsia" w:ascii="Times New Roman" w:hAnsi="Times New Roman" w:eastAsia="仿宋_GB2312" w:cs="仿宋_GB2312"/>
                <w:spacing w:val="-1"/>
                <w:sz w:val="21"/>
                <w:szCs w:val="21"/>
              </w:rPr>
              <w:t>分）</w:t>
            </w:r>
          </w:p>
        </w:tc>
        <w:tc>
          <w:tcPr>
            <w:tcW w:w="366" w:type="dxa"/>
            <w:noWrap w:val="0"/>
            <w:vAlign w:val="center"/>
          </w:tcPr>
          <w:p w14:paraId="5D66602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z w:val="21"/>
                <w:szCs w:val="21"/>
              </w:rPr>
              <w:t>1</w:t>
            </w:r>
          </w:p>
        </w:tc>
        <w:tc>
          <w:tcPr>
            <w:tcW w:w="590" w:type="dxa"/>
            <w:noWrap w:val="0"/>
            <w:vAlign w:val="center"/>
          </w:tcPr>
          <w:p w14:paraId="7B9F90E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定量</w:t>
            </w:r>
          </w:p>
        </w:tc>
        <w:tc>
          <w:tcPr>
            <w:tcW w:w="1740" w:type="dxa"/>
            <w:noWrap w:val="0"/>
            <w:vAlign w:val="center"/>
          </w:tcPr>
          <w:p w14:paraId="1B58C25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2"/>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9"/>
                <w:sz w:val="21"/>
                <w:szCs w:val="21"/>
              </w:rPr>
              <w:t>网上零售额同比增速（2分）</w:t>
            </w:r>
          </w:p>
        </w:tc>
        <w:tc>
          <w:tcPr>
            <w:tcW w:w="5691" w:type="dxa"/>
            <w:noWrap w:val="0"/>
            <w:vAlign w:val="center"/>
          </w:tcPr>
          <w:p w14:paraId="73902E60">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0"/>
                <w:sz w:val="21"/>
                <w:szCs w:val="21"/>
              </w:rPr>
              <w:t>网上零售额同比增速=（当年网上零售额/上一年度网上零售额-1）*100%。近2年，创建地区网上零售额同比增速超过全</w:t>
            </w:r>
            <w:r>
              <w:rPr>
                <w:rFonts w:hint="eastAsia" w:ascii="Times New Roman" w:hAnsi="Times New Roman" w:eastAsia="仿宋_GB2312" w:cs="仿宋_GB2312"/>
                <w:spacing w:val="0"/>
                <w:sz w:val="21"/>
                <w:szCs w:val="21"/>
                <w:lang w:eastAsia="zh-CN"/>
              </w:rPr>
              <w:t>省</w:t>
            </w:r>
            <w:r>
              <w:rPr>
                <w:rFonts w:hint="eastAsia" w:ascii="Times New Roman" w:hAnsi="Times New Roman" w:eastAsia="仿宋_GB2312" w:cs="仿宋_GB2312"/>
                <w:spacing w:val="0"/>
                <w:sz w:val="21"/>
                <w:szCs w:val="21"/>
              </w:rPr>
              <w:t>网上零售额同比增速。超过1年得1分，共2分。</w:t>
            </w:r>
          </w:p>
        </w:tc>
        <w:tc>
          <w:tcPr>
            <w:tcW w:w="3900" w:type="dxa"/>
            <w:noWrap w:val="0"/>
            <w:vAlign w:val="center"/>
          </w:tcPr>
          <w:p w14:paraId="098BE03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方式：数据比对、资料审查。</w:t>
            </w:r>
          </w:p>
          <w:p w14:paraId="4EFA688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来源：1.</w:t>
            </w:r>
            <w:r>
              <w:rPr>
                <w:rFonts w:hint="eastAsia" w:ascii="Times New Roman" w:hAnsi="Times New Roman" w:eastAsia="仿宋_GB2312" w:cs="仿宋_GB2312"/>
                <w:spacing w:val="-8"/>
                <w:sz w:val="21"/>
                <w:szCs w:val="21"/>
                <w:lang w:eastAsia="zh-CN"/>
              </w:rPr>
              <w:t>省</w:t>
            </w:r>
            <w:r>
              <w:rPr>
                <w:rFonts w:hint="eastAsia" w:ascii="Times New Roman" w:hAnsi="Times New Roman" w:eastAsia="仿宋_GB2312" w:cs="仿宋_GB2312"/>
                <w:spacing w:val="-8"/>
                <w:sz w:val="21"/>
                <w:szCs w:val="21"/>
              </w:rPr>
              <w:t>统计局官网；2.创建对象提供。</w:t>
            </w:r>
          </w:p>
        </w:tc>
        <w:tc>
          <w:tcPr>
            <w:tcW w:w="1925" w:type="dxa"/>
            <w:tcBorders>
              <w:right w:val="single" w:color="000000" w:sz="6" w:space="0"/>
            </w:tcBorders>
            <w:noWrap w:val="0"/>
            <w:vAlign w:val="center"/>
          </w:tcPr>
          <w:p w14:paraId="0EF4B2A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4"/>
                <w:sz w:val="21"/>
                <w:szCs w:val="21"/>
              </w:rPr>
              <w:t>经济发展局</w:t>
            </w:r>
          </w:p>
        </w:tc>
      </w:tr>
      <w:tr w14:paraId="412C97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2" w:hRule="atLeast"/>
        </w:trPr>
        <w:tc>
          <w:tcPr>
            <w:tcW w:w="1025" w:type="dxa"/>
            <w:vMerge w:val="continue"/>
            <w:tcBorders>
              <w:top w:val="nil"/>
              <w:left w:val="single" w:color="000000" w:sz="6" w:space="0"/>
              <w:bottom w:val="nil"/>
            </w:tcBorders>
            <w:noWrap w:val="0"/>
            <w:vAlign w:val="center"/>
          </w:tcPr>
          <w:p w14:paraId="21C9E2B9">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p>
        </w:tc>
        <w:tc>
          <w:tcPr>
            <w:tcW w:w="366" w:type="dxa"/>
            <w:noWrap w:val="0"/>
            <w:vAlign w:val="center"/>
          </w:tcPr>
          <w:p w14:paraId="35E35CE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z w:val="21"/>
                <w:szCs w:val="21"/>
              </w:rPr>
              <w:t>2</w:t>
            </w:r>
          </w:p>
        </w:tc>
        <w:tc>
          <w:tcPr>
            <w:tcW w:w="590" w:type="dxa"/>
            <w:noWrap w:val="0"/>
            <w:vAlign w:val="center"/>
          </w:tcPr>
          <w:p w14:paraId="581776A3">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定量</w:t>
            </w:r>
          </w:p>
        </w:tc>
        <w:tc>
          <w:tcPr>
            <w:tcW w:w="1740" w:type="dxa"/>
            <w:noWrap w:val="0"/>
            <w:vAlign w:val="center"/>
          </w:tcPr>
          <w:p w14:paraId="7B78D21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1"/>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9"/>
                <w:sz w:val="21"/>
                <w:szCs w:val="21"/>
              </w:rPr>
              <w:t>网上零售额同比增速超过社会零售总额同比增速（2分</w:t>
            </w:r>
            <w:r>
              <w:rPr>
                <w:rFonts w:hint="eastAsia" w:ascii="Times New Roman" w:hAnsi="Times New Roman" w:eastAsia="仿宋_GB2312" w:cs="仿宋_GB2312"/>
                <w:spacing w:val="-23"/>
                <w:sz w:val="21"/>
                <w:szCs w:val="21"/>
              </w:rPr>
              <w:t>）</w:t>
            </w:r>
          </w:p>
        </w:tc>
        <w:tc>
          <w:tcPr>
            <w:tcW w:w="5691" w:type="dxa"/>
            <w:noWrap w:val="0"/>
            <w:vAlign w:val="center"/>
          </w:tcPr>
          <w:p w14:paraId="438173D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eastAsia" w:ascii="Times New Roman" w:hAnsi="Times New Roman" w:eastAsia="仿宋_GB2312" w:cs="仿宋_GB2312"/>
                <w:spacing w:val="0"/>
                <w:sz w:val="21"/>
                <w:szCs w:val="21"/>
              </w:rPr>
            </w:pPr>
            <w:r>
              <w:rPr>
                <w:rFonts w:hint="eastAsia" w:ascii="Times New Roman" w:hAnsi="Times New Roman" w:eastAsia="仿宋_GB2312" w:cs="仿宋_GB2312"/>
                <w:spacing w:val="0"/>
                <w:sz w:val="21"/>
                <w:szCs w:val="21"/>
              </w:rPr>
              <w:t>社会零售总额同比增速=（当年社会零售总额/上一年度社会零售总额-1）*100%。近2年，创建地区网上零售额同比增速超过其社会零售总额同比增速。超过1年得1分，共2分。</w:t>
            </w:r>
          </w:p>
        </w:tc>
        <w:tc>
          <w:tcPr>
            <w:tcW w:w="3900" w:type="dxa"/>
            <w:noWrap w:val="0"/>
            <w:vAlign w:val="center"/>
          </w:tcPr>
          <w:p w14:paraId="2D3B2D4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方式：数据比对、资料审查。</w:t>
            </w:r>
          </w:p>
          <w:p w14:paraId="7C0EAD8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来源：1.</w:t>
            </w:r>
            <w:r>
              <w:rPr>
                <w:rFonts w:hint="eastAsia" w:ascii="Times New Roman" w:hAnsi="Times New Roman" w:eastAsia="仿宋_GB2312" w:cs="仿宋_GB2312"/>
                <w:spacing w:val="-8"/>
                <w:sz w:val="21"/>
                <w:szCs w:val="21"/>
                <w:lang w:eastAsia="zh-CN"/>
              </w:rPr>
              <w:t>省</w:t>
            </w:r>
            <w:r>
              <w:rPr>
                <w:rFonts w:hint="eastAsia" w:ascii="Times New Roman" w:hAnsi="Times New Roman" w:eastAsia="仿宋_GB2312" w:cs="仿宋_GB2312"/>
                <w:spacing w:val="-8"/>
                <w:sz w:val="21"/>
                <w:szCs w:val="21"/>
              </w:rPr>
              <w:t>统计局官网；2.创建对象提供。</w:t>
            </w:r>
          </w:p>
        </w:tc>
        <w:tc>
          <w:tcPr>
            <w:tcW w:w="1925" w:type="dxa"/>
            <w:tcBorders>
              <w:right w:val="single" w:color="000000" w:sz="6" w:space="0"/>
            </w:tcBorders>
            <w:noWrap w:val="0"/>
            <w:vAlign w:val="center"/>
          </w:tcPr>
          <w:p w14:paraId="4F6041D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4"/>
                <w:sz w:val="21"/>
                <w:szCs w:val="21"/>
              </w:rPr>
              <w:t>经济发展局</w:t>
            </w:r>
          </w:p>
        </w:tc>
      </w:tr>
      <w:tr w14:paraId="41A8E8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77" w:hRule="atLeast"/>
        </w:trPr>
        <w:tc>
          <w:tcPr>
            <w:tcW w:w="1025" w:type="dxa"/>
            <w:vMerge w:val="continue"/>
            <w:tcBorders>
              <w:top w:val="nil"/>
              <w:left w:val="single" w:color="000000" w:sz="6" w:space="0"/>
              <w:bottom w:val="nil"/>
            </w:tcBorders>
            <w:noWrap w:val="0"/>
            <w:vAlign w:val="center"/>
          </w:tcPr>
          <w:p w14:paraId="459383FC">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p>
        </w:tc>
        <w:tc>
          <w:tcPr>
            <w:tcW w:w="366" w:type="dxa"/>
            <w:noWrap w:val="0"/>
            <w:vAlign w:val="center"/>
          </w:tcPr>
          <w:p w14:paraId="6D22C7A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z w:val="21"/>
                <w:szCs w:val="21"/>
              </w:rPr>
              <w:t>3</w:t>
            </w:r>
          </w:p>
        </w:tc>
        <w:tc>
          <w:tcPr>
            <w:tcW w:w="590" w:type="dxa"/>
            <w:noWrap w:val="0"/>
            <w:vAlign w:val="center"/>
          </w:tcPr>
          <w:p w14:paraId="119FD9C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定量</w:t>
            </w:r>
          </w:p>
        </w:tc>
        <w:tc>
          <w:tcPr>
            <w:tcW w:w="1740" w:type="dxa"/>
            <w:noWrap w:val="0"/>
            <w:vAlign w:val="center"/>
          </w:tcPr>
          <w:p w14:paraId="59B2B6C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30"/>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9"/>
                <w:sz w:val="21"/>
                <w:szCs w:val="21"/>
              </w:rPr>
              <w:t>网络交易经营者数量占市场主体比重（2分）</w:t>
            </w:r>
          </w:p>
        </w:tc>
        <w:tc>
          <w:tcPr>
            <w:tcW w:w="5691" w:type="dxa"/>
            <w:noWrap w:val="0"/>
            <w:vAlign w:val="center"/>
          </w:tcPr>
          <w:p w14:paraId="14F9EDFE">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eastAsia" w:ascii="Times New Roman" w:hAnsi="Times New Roman" w:eastAsia="仿宋_GB2312" w:cs="仿宋_GB2312"/>
                <w:spacing w:val="0"/>
                <w:sz w:val="21"/>
                <w:szCs w:val="21"/>
              </w:rPr>
            </w:pPr>
            <w:r>
              <w:rPr>
                <w:rFonts w:hint="eastAsia" w:ascii="Times New Roman" w:hAnsi="Times New Roman" w:eastAsia="仿宋_GB2312" w:cs="仿宋_GB2312"/>
                <w:spacing w:val="0"/>
                <w:sz w:val="21"/>
                <w:szCs w:val="21"/>
              </w:rPr>
              <w:t>网络交易经营者数量/市场主体数量。占比8%-15%得1分，15%以上得2分。（比值区间均含本数，下同）网络交易经营者主要统计网络交易平台、平台内经营者及自建网站经营者</w:t>
            </w:r>
            <w:r>
              <w:rPr>
                <w:rFonts w:hint="eastAsia" w:ascii="Times New Roman" w:hAnsi="Times New Roman" w:eastAsia="仿宋_GB2312" w:cs="仿宋_GB2312"/>
                <w:spacing w:val="0"/>
                <w:sz w:val="21"/>
                <w:szCs w:val="21"/>
                <w:lang w:eastAsia="zh-CN"/>
              </w:rPr>
              <w:t>，</w:t>
            </w:r>
            <w:r>
              <w:rPr>
                <w:rFonts w:hint="eastAsia" w:ascii="Times New Roman" w:hAnsi="Times New Roman" w:eastAsia="仿宋_GB2312" w:cs="仿宋_GB2312"/>
                <w:spacing w:val="0"/>
                <w:sz w:val="21"/>
                <w:szCs w:val="21"/>
              </w:rPr>
              <w:t>下同。</w:t>
            </w:r>
          </w:p>
        </w:tc>
        <w:tc>
          <w:tcPr>
            <w:tcW w:w="3900" w:type="dxa"/>
            <w:noWrap w:val="0"/>
            <w:vAlign w:val="center"/>
          </w:tcPr>
          <w:p w14:paraId="178733E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方式：数据比对、资料审查。</w:t>
            </w:r>
          </w:p>
          <w:p w14:paraId="657642F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来源：1.</w:t>
            </w:r>
            <w:r>
              <w:rPr>
                <w:rFonts w:hint="eastAsia" w:ascii="Times New Roman" w:hAnsi="Times New Roman" w:eastAsia="仿宋_GB2312" w:cs="仿宋_GB2312"/>
                <w:spacing w:val="-8"/>
                <w:sz w:val="21"/>
                <w:szCs w:val="21"/>
                <w:lang w:eastAsia="zh-CN"/>
              </w:rPr>
              <w:t>省</w:t>
            </w:r>
            <w:r>
              <w:rPr>
                <w:rFonts w:hint="eastAsia" w:ascii="Times New Roman" w:hAnsi="Times New Roman" w:eastAsia="仿宋_GB2312" w:cs="仿宋_GB2312"/>
                <w:spacing w:val="-8"/>
                <w:sz w:val="21"/>
                <w:szCs w:val="21"/>
              </w:rPr>
              <w:t>网络交易监管平台；2.创建对象提供。</w:t>
            </w:r>
          </w:p>
        </w:tc>
        <w:tc>
          <w:tcPr>
            <w:tcW w:w="1925" w:type="dxa"/>
            <w:tcBorders>
              <w:right w:val="single" w:color="000000" w:sz="6" w:space="0"/>
            </w:tcBorders>
            <w:noWrap w:val="0"/>
            <w:vAlign w:val="center"/>
          </w:tcPr>
          <w:p w14:paraId="7B0E8AC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市场监管局</w:t>
            </w:r>
          </w:p>
        </w:tc>
      </w:tr>
      <w:tr w14:paraId="667FCF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25" w:hRule="atLeast"/>
        </w:trPr>
        <w:tc>
          <w:tcPr>
            <w:tcW w:w="1025" w:type="dxa"/>
            <w:vMerge w:val="continue"/>
            <w:tcBorders>
              <w:top w:val="nil"/>
              <w:left w:val="single" w:color="000000" w:sz="6" w:space="0"/>
              <w:bottom w:val="nil"/>
            </w:tcBorders>
            <w:noWrap w:val="0"/>
            <w:vAlign w:val="center"/>
          </w:tcPr>
          <w:p w14:paraId="7B51773C">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p>
        </w:tc>
        <w:tc>
          <w:tcPr>
            <w:tcW w:w="366" w:type="dxa"/>
            <w:noWrap w:val="0"/>
            <w:vAlign w:val="center"/>
          </w:tcPr>
          <w:p w14:paraId="2BA44F1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z w:val="21"/>
                <w:szCs w:val="21"/>
              </w:rPr>
              <w:t>4</w:t>
            </w:r>
          </w:p>
        </w:tc>
        <w:tc>
          <w:tcPr>
            <w:tcW w:w="590" w:type="dxa"/>
            <w:noWrap w:val="0"/>
            <w:vAlign w:val="center"/>
          </w:tcPr>
          <w:p w14:paraId="7B21CFE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定量</w:t>
            </w:r>
          </w:p>
        </w:tc>
        <w:tc>
          <w:tcPr>
            <w:tcW w:w="1740" w:type="dxa"/>
            <w:noWrap w:val="0"/>
            <w:vAlign w:val="center"/>
          </w:tcPr>
          <w:p w14:paraId="31E319A4">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30"/>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9"/>
                <w:sz w:val="21"/>
                <w:szCs w:val="21"/>
              </w:rPr>
              <w:t>新增规模以上网络交易经营者数量（2分）</w:t>
            </w:r>
          </w:p>
        </w:tc>
        <w:tc>
          <w:tcPr>
            <w:tcW w:w="5691" w:type="dxa"/>
            <w:noWrap w:val="0"/>
            <w:vAlign w:val="center"/>
          </w:tcPr>
          <w:p w14:paraId="20AEC1C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eastAsia" w:ascii="Times New Roman" w:hAnsi="Times New Roman" w:eastAsia="仿宋_GB2312" w:cs="仿宋_GB2312"/>
                <w:spacing w:val="0"/>
                <w:sz w:val="21"/>
                <w:szCs w:val="21"/>
              </w:rPr>
            </w:pPr>
            <w:r>
              <w:rPr>
                <w:rFonts w:hint="eastAsia" w:ascii="Times New Roman" w:hAnsi="Times New Roman" w:eastAsia="仿宋_GB2312" w:cs="仿宋_GB2312"/>
                <w:spacing w:val="0"/>
                <w:sz w:val="21"/>
                <w:szCs w:val="21"/>
              </w:rPr>
              <w:t>近2年，新增年度电子商务销售额超过3亿的网络交易经营者，有1家得2分；超过2亿的，有1家得1.5分，2家及以上得2分；超过1亿的，有1家得1分，2家及以上得2分；超过5千万的，1家得0.5分，最高不超过2分。</w:t>
            </w:r>
          </w:p>
        </w:tc>
        <w:tc>
          <w:tcPr>
            <w:tcW w:w="3900" w:type="dxa"/>
            <w:noWrap w:val="0"/>
            <w:vAlign w:val="center"/>
          </w:tcPr>
          <w:p w14:paraId="6C16E8E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方式：资料审查。</w:t>
            </w:r>
          </w:p>
          <w:p w14:paraId="27C34E6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8"/>
                <w:sz w:val="21"/>
                <w:szCs w:val="21"/>
              </w:rPr>
              <w:t>来源：</w:t>
            </w:r>
            <w:r>
              <w:rPr>
                <w:rFonts w:hint="eastAsia" w:ascii="Times New Roman" w:hAnsi="Times New Roman" w:eastAsia="仿宋_GB2312" w:cs="仿宋_GB2312"/>
                <w:spacing w:val="-6"/>
                <w:sz w:val="21"/>
                <w:szCs w:val="21"/>
              </w:rPr>
              <w:t>创建对象提供。</w:t>
            </w:r>
          </w:p>
        </w:tc>
        <w:tc>
          <w:tcPr>
            <w:tcW w:w="1925" w:type="dxa"/>
            <w:tcBorders>
              <w:right w:val="single" w:color="000000" w:sz="6" w:space="0"/>
            </w:tcBorders>
            <w:noWrap w:val="0"/>
            <w:vAlign w:val="center"/>
          </w:tcPr>
          <w:p w14:paraId="37BA3B7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4"/>
                <w:sz w:val="21"/>
                <w:szCs w:val="21"/>
              </w:rPr>
              <w:t>商务局</w:t>
            </w:r>
          </w:p>
        </w:tc>
      </w:tr>
      <w:tr w14:paraId="405DD6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87" w:hRule="atLeast"/>
        </w:trPr>
        <w:tc>
          <w:tcPr>
            <w:tcW w:w="1025" w:type="dxa"/>
            <w:vMerge w:val="continue"/>
            <w:tcBorders>
              <w:top w:val="nil"/>
              <w:left w:val="single" w:color="000000" w:sz="6" w:space="0"/>
              <w:bottom w:val="single" w:color="000000" w:sz="6" w:space="0"/>
            </w:tcBorders>
            <w:noWrap w:val="0"/>
            <w:vAlign w:val="center"/>
          </w:tcPr>
          <w:p w14:paraId="31FF8DD9">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p>
        </w:tc>
        <w:tc>
          <w:tcPr>
            <w:tcW w:w="366" w:type="dxa"/>
            <w:tcBorders>
              <w:bottom w:val="single" w:color="000000" w:sz="6" w:space="0"/>
            </w:tcBorders>
            <w:noWrap w:val="0"/>
            <w:vAlign w:val="center"/>
          </w:tcPr>
          <w:p w14:paraId="581A475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z w:val="21"/>
                <w:szCs w:val="21"/>
              </w:rPr>
              <w:t>5</w:t>
            </w:r>
          </w:p>
        </w:tc>
        <w:tc>
          <w:tcPr>
            <w:tcW w:w="590" w:type="dxa"/>
            <w:tcBorders>
              <w:bottom w:val="single" w:color="000000" w:sz="6" w:space="0"/>
            </w:tcBorders>
            <w:noWrap w:val="0"/>
            <w:vAlign w:val="center"/>
          </w:tcPr>
          <w:p w14:paraId="4AC47AD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3"/>
                <w:sz w:val="21"/>
                <w:szCs w:val="21"/>
              </w:rPr>
              <w:t>定量</w:t>
            </w:r>
          </w:p>
        </w:tc>
        <w:tc>
          <w:tcPr>
            <w:tcW w:w="1740" w:type="dxa"/>
            <w:tcBorders>
              <w:bottom w:val="single" w:color="000000" w:sz="6" w:space="0"/>
            </w:tcBorders>
            <w:noWrap w:val="0"/>
            <w:vAlign w:val="center"/>
          </w:tcPr>
          <w:p w14:paraId="1703D5B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5"/>
              <w:jc w:val="left"/>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9"/>
                <w:sz w:val="21"/>
                <w:szCs w:val="21"/>
              </w:rPr>
              <w:t>快递业务同比增速（2分）</w:t>
            </w:r>
          </w:p>
        </w:tc>
        <w:tc>
          <w:tcPr>
            <w:tcW w:w="5691" w:type="dxa"/>
            <w:tcBorders>
              <w:bottom w:val="single" w:color="000000" w:sz="6" w:space="0"/>
            </w:tcBorders>
            <w:noWrap w:val="0"/>
            <w:vAlign w:val="center"/>
          </w:tcPr>
          <w:p w14:paraId="45516D1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eastAsia" w:ascii="Times New Roman" w:hAnsi="Times New Roman" w:eastAsia="仿宋_GB2312" w:cs="仿宋_GB2312"/>
                <w:spacing w:val="0"/>
                <w:sz w:val="21"/>
                <w:szCs w:val="21"/>
              </w:rPr>
            </w:pPr>
            <w:r>
              <w:rPr>
                <w:rFonts w:hint="eastAsia" w:ascii="Times New Roman" w:hAnsi="Times New Roman" w:eastAsia="仿宋_GB2312" w:cs="仿宋_GB2312"/>
                <w:spacing w:val="0"/>
                <w:sz w:val="21"/>
                <w:szCs w:val="21"/>
              </w:rPr>
              <w:t>快递业务同比增速=（当年快递业务量/上一年度快递业务量-1）*100%。近2年，创建地区快递业务同比增速超过全</w:t>
            </w:r>
            <w:r>
              <w:rPr>
                <w:rFonts w:hint="eastAsia" w:ascii="Times New Roman" w:hAnsi="Times New Roman" w:eastAsia="仿宋_GB2312" w:cs="仿宋_GB2312"/>
                <w:spacing w:val="0"/>
                <w:sz w:val="21"/>
                <w:szCs w:val="21"/>
                <w:lang w:eastAsia="zh-CN"/>
              </w:rPr>
              <w:t>省</w:t>
            </w:r>
            <w:r>
              <w:rPr>
                <w:rFonts w:hint="eastAsia" w:ascii="Times New Roman" w:hAnsi="Times New Roman" w:eastAsia="仿宋_GB2312" w:cs="仿宋_GB2312"/>
                <w:spacing w:val="0"/>
                <w:sz w:val="21"/>
                <w:szCs w:val="21"/>
              </w:rPr>
              <w:t>快递业务同比增速。超过1年得1分，共2分。</w:t>
            </w:r>
          </w:p>
        </w:tc>
        <w:tc>
          <w:tcPr>
            <w:tcW w:w="3900" w:type="dxa"/>
            <w:tcBorders>
              <w:bottom w:val="single" w:color="000000" w:sz="6" w:space="0"/>
            </w:tcBorders>
            <w:noWrap w:val="0"/>
            <w:vAlign w:val="center"/>
          </w:tcPr>
          <w:p w14:paraId="2E89833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pacing w:val="-8"/>
                <w:sz w:val="21"/>
                <w:szCs w:val="21"/>
              </w:rPr>
            </w:pPr>
            <w:r>
              <w:rPr>
                <w:rFonts w:hint="eastAsia" w:ascii="Times New Roman" w:hAnsi="Times New Roman" w:eastAsia="仿宋_GB2312" w:cs="仿宋_GB2312"/>
                <w:spacing w:val="-8"/>
                <w:sz w:val="21"/>
                <w:szCs w:val="21"/>
              </w:rPr>
              <w:t>方式：数据比对、资料审查。</w:t>
            </w:r>
          </w:p>
          <w:p w14:paraId="39E5F61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rPr>
            </w:pPr>
            <w:r>
              <w:rPr>
                <w:rFonts w:hint="eastAsia" w:ascii="Times New Roman" w:hAnsi="Times New Roman" w:eastAsia="仿宋_GB2312" w:cs="仿宋_GB2312"/>
                <w:spacing w:val="-8"/>
                <w:sz w:val="21"/>
                <w:szCs w:val="21"/>
              </w:rPr>
              <w:t>来源：1.</w:t>
            </w:r>
            <w:r>
              <w:rPr>
                <w:rFonts w:hint="eastAsia" w:ascii="Times New Roman" w:hAnsi="Times New Roman" w:eastAsia="仿宋_GB2312" w:cs="仿宋_GB2312"/>
                <w:spacing w:val="-8"/>
                <w:sz w:val="21"/>
                <w:szCs w:val="21"/>
                <w:lang w:eastAsia="zh-CN"/>
              </w:rPr>
              <w:t>省</w:t>
            </w:r>
            <w:r>
              <w:rPr>
                <w:rFonts w:hint="eastAsia" w:ascii="Times New Roman" w:hAnsi="Times New Roman" w:eastAsia="仿宋_GB2312" w:cs="仿宋_GB2312"/>
                <w:spacing w:val="-8"/>
                <w:sz w:val="21"/>
                <w:szCs w:val="21"/>
              </w:rPr>
              <w:t>邮政局官网；2.创建对象提供。</w:t>
            </w:r>
          </w:p>
        </w:tc>
        <w:tc>
          <w:tcPr>
            <w:tcW w:w="1925" w:type="dxa"/>
            <w:tcBorders>
              <w:bottom w:val="single" w:color="000000" w:sz="6" w:space="0"/>
              <w:right w:val="single" w:color="000000" w:sz="6" w:space="0"/>
            </w:tcBorders>
            <w:noWrap w:val="0"/>
            <w:vAlign w:val="center"/>
          </w:tcPr>
          <w:p w14:paraId="5276811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仿宋_GB2312"/>
                <w:sz w:val="21"/>
                <w:szCs w:val="21"/>
                <w:lang w:eastAsia="zh-CN"/>
              </w:rPr>
            </w:pPr>
            <w:r>
              <w:rPr>
                <w:rFonts w:hint="eastAsia" w:ascii="Times New Roman" w:hAnsi="Times New Roman" w:eastAsia="仿宋_GB2312" w:cs="仿宋_GB2312"/>
                <w:spacing w:val="-4"/>
                <w:sz w:val="21"/>
                <w:szCs w:val="21"/>
                <w:lang w:eastAsia="zh-CN"/>
              </w:rPr>
              <w:t>建设局</w:t>
            </w:r>
          </w:p>
        </w:tc>
      </w:tr>
    </w:tbl>
    <w:tbl>
      <w:tblPr>
        <w:tblStyle w:val="9"/>
        <w:tblpPr w:leftFromText="180" w:rightFromText="180" w:vertAnchor="text" w:horzAnchor="page" w:tblpX="1116" w:tblpY="305"/>
        <w:tblOverlap w:val="never"/>
        <w:tblW w:w="0" w:type="auto"/>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5"/>
        <w:gridCol w:w="362"/>
        <w:gridCol w:w="588"/>
        <w:gridCol w:w="1750"/>
        <w:gridCol w:w="5687"/>
        <w:gridCol w:w="3900"/>
        <w:gridCol w:w="1915"/>
      </w:tblGrid>
      <w:tr w14:paraId="5E7C8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25" w:type="dxa"/>
            <w:tcBorders>
              <w:top w:val="single" w:color="000000" w:sz="6" w:space="0"/>
              <w:left w:val="single" w:color="000000" w:sz="6" w:space="0"/>
            </w:tcBorders>
            <w:noWrap w:val="0"/>
            <w:vAlign w:val="center"/>
          </w:tcPr>
          <w:p w14:paraId="4DFB557B">
            <w:pPr>
              <w:jc w:val="center"/>
              <w:rPr>
                <w:rFonts w:hint="eastAsia" w:ascii="Times New Roman" w:hAnsi="Times New Roman" w:eastAsia="黑体" w:cs="黑体"/>
              </w:rPr>
            </w:pPr>
            <w:r>
              <w:rPr>
                <w:rFonts w:hint="eastAsia" w:ascii="Times New Roman" w:hAnsi="Times New Roman" w:eastAsia="黑体" w:cs="黑体"/>
              </w:rPr>
              <w:t>一级指标</w:t>
            </w:r>
          </w:p>
        </w:tc>
        <w:tc>
          <w:tcPr>
            <w:tcW w:w="362" w:type="dxa"/>
            <w:tcBorders>
              <w:top w:val="single" w:color="000000" w:sz="6" w:space="0"/>
            </w:tcBorders>
            <w:noWrap w:val="0"/>
            <w:vAlign w:val="center"/>
          </w:tcPr>
          <w:p w14:paraId="38589C1B">
            <w:pPr>
              <w:jc w:val="center"/>
              <w:rPr>
                <w:rFonts w:hint="eastAsia" w:ascii="Times New Roman" w:hAnsi="Times New Roman" w:eastAsia="黑体" w:cs="黑体"/>
              </w:rPr>
            </w:pPr>
            <w:r>
              <w:rPr>
                <w:rFonts w:hint="eastAsia" w:ascii="Times New Roman" w:hAnsi="Times New Roman" w:eastAsia="黑体" w:cs="黑体"/>
              </w:rPr>
              <w:t>编号</w:t>
            </w:r>
          </w:p>
        </w:tc>
        <w:tc>
          <w:tcPr>
            <w:tcW w:w="588" w:type="dxa"/>
            <w:tcBorders>
              <w:top w:val="single" w:color="000000" w:sz="6" w:space="0"/>
            </w:tcBorders>
            <w:noWrap w:val="0"/>
            <w:vAlign w:val="center"/>
          </w:tcPr>
          <w:p w14:paraId="5C3C9B82">
            <w:pPr>
              <w:jc w:val="center"/>
              <w:rPr>
                <w:rFonts w:hint="eastAsia" w:ascii="Times New Roman" w:hAnsi="Times New Roman" w:eastAsia="黑体" w:cs="黑体"/>
              </w:rPr>
            </w:pPr>
            <w:r>
              <w:rPr>
                <w:rFonts w:hint="eastAsia" w:ascii="Times New Roman" w:hAnsi="Times New Roman" w:eastAsia="黑体" w:cs="黑体"/>
              </w:rPr>
              <w:t>变量性质</w:t>
            </w:r>
          </w:p>
        </w:tc>
        <w:tc>
          <w:tcPr>
            <w:tcW w:w="1750" w:type="dxa"/>
            <w:tcBorders>
              <w:top w:val="single" w:color="000000" w:sz="6" w:space="0"/>
            </w:tcBorders>
            <w:noWrap w:val="0"/>
            <w:vAlign w:val="center"/>
          </w:tcPr>
          <w:p w14:paraId="1512969E">
            <w:pPr>
              <w:jc w:val="center"/>
              <w:rPr>
                <w:rFonts w:hint="eastAsia" w:ascii="Times New Roman" w:hAnsi="Times New Roman" w:eastAsia="黑体" w:cs="黑体"/>
              </w:rPr>
            </w:pPr>
            <w:r>
              <w:rPr>
                <w:rFonts w:hint="eastAsia" w:ascii="Times New Roman" w:hAnsi="Times New Roman" w:eastAsia="黑体" w:cs="黑体"/>
              </w:rPr>
              <w:t>三级指标</w:t>
            </w:r>
          </w:p>
        </w:tc>
        <w:tc>
          <w:tcPr>
            <w:tcW w:w="5687" w:type="dxa"/>
            <w:tcBorders>
              <w:top w:val="single" w:color="000000" w:sz="6" w:space="0"/>
            </w:tcBorders>
            <w:noWrap w:val="0"/>
            <w:vAlign w:val="center"/>
          </w:tcPr>
          <w:p w14:paraId="64CB15F2">
            <w:pPr>
              <w:jc w:val="center"/>
              <w:rPr>
                <w:rFonts w:hint="eastAsia" w:ascii="Times New Roman" w:hAnsi="Times New Roman" w:eastAsia="黑体" w:cs="黑体"/>
              </w:rPr>
            </w:pPr>
            <w:r>
              <w:rPr>
                <w:rFonts w:hint="eastAsia" w:ascii="Times New Roman" w:hAnsi="Times New Roman" w:eastAsia="黑体" w:cs="黑体"/>
              </w:rPr>
              <w:t>指标说明及打分标准</w:t>
            </w:r>
          </w:p>
        </w:tc>
        <w:tc>
          <w:tcPr>
            <w:tcW w:w="3900" w:type="dxa"/>
            <w:tcBorders>
              <w:top w:val="single" w:color="000000" w:sz="6" w:space="0"/>
            </w:tcBorders>
            <w:noWrap w:val="0"/>
            <w:vAlign w:val="center"/>
          </w:tcPr>
          <w:p w14:paraId="24353F5E">
            <w:pPr>
              <w:jc w:val="center"/>
              <w:rPr>
                <w:rFonts w:hint="eastAsia" w:ascii="Times New Roman" w:hAnsi="Times New Roman" w:eastAsia="黑体" w:cs="黑体"/>
              </w:rPr>
            </w:pPr>
            <w:r>
              <w:rPr>
                <w:rFonts w:hint="eastAsia" w:ascii="Times New Roman" w:hAnsi="Times New Roman" w:eastAsia="黑体" w:cs="黑体"/>
              </w:rPr>
              <w:t>评估方式及数据或资料来源</w:t>
            </w:r>
          </w:p>
        </w:tc>
        <w:tc>
          <w:tcPr>
            <w:tcW w:w="1915" w:type="dxa"/>
            <w:tcBorders>
              <w:top w:val="single" w:color="000000" w:sz="6" w:space="0"/>
              <w:right w:val="single" w:color="000000" w:sz="6" w:space="0"/>
            </w:tcBorders>
            <w:noWrap w:val="0"/>
            <w:vAlign w:val="center"/>
          </w:tcPr>
          <w:p w14:paraId="3F8A0EA7">
            <w:pPr>
              <w:jc w:val="center"/>
              <w:rPr>
                <w:rFonts w:hint="eastAsia" w:ascii="Times New Roman" w:hAnsi="Times New Roman" w:eastAsia="黑体" w:cs="黑体"/>
              </w:rPr>
            </w:pPr>
            <w:r>
              <w:rPr>
                <w:rFonts w:hint="eastAsia" w:ascii="Times New Roman" w:hAnsi="Times New Roman" w:eastAsia="黑体" w:cs="黑体"/>
              </w:rPr>
              <w:t>责任单位或数据材料提供单位</w:t>
            </w:r>
          </w:p>
        </w:tc>
      </w:tr>
      <w:tr w14:paraId="426E932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93" w:hRule="atLeast"/>
        </w:trPr>
        <w:tc>
          <w:tcPr>
            <w:tcW w:w="1025" w:type="dxa"/>
            <w:vMerge w:val="restart"/>
            <w:tcBorders>
              <w:left w:val="single" w:color="000000" w:sz="6" w:space="0"/>
              <w:bottom w:val="nil"/>
            </w:tcBorders>
            <w:noWrap w:val="0"/>
            <w:vAlign w:val="center"/>
          </w:tcPr>
          <w:p w14:paraId="2EE5A6C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促进发展（20分）</w:t>
            </w:r>
          </w:p>
        </w:tc>
        <w:tc>
          <w:tcPr>
            <w:tcW w:w="362" w:type="dxa"/>
            <w:noWrap w:val="0"/>
            <w:vAlign w:val="center"/>
          </w:tcPr>
          <w:p w14:paraId="40F83F6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6</w:t>
            </w:r>
          </w:p>
        </w:tc>
        <w:tc>
          <w:tcPr>
            <w:tcW w:w="588" w:type="dxa"/>
            <w:noWrap w:val="0"/>
            <w:vAlign w:val="center"/>
          </w:tcPr>
          <w:p w14:paraId="2A1893B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定量</w:t>
            </w:r>
          </w:p>
        </w:tc>
        <w:tc>
          <w:tcPr>
            <w:tcW w:w="1750" w:type="dxa"/>
            <w:noWrap w:val="0"/>
            <w:vAlign w:val="center"/>
          </w:tcPr>
          <w:p w14:paraId="5FAAAE2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网络市场消费</w:t>
            </w:r>
          </w:p>
          <w:p w14:paraId="5B54F2E4">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贡献度（2分）</w:t>
            </w:r>
          </w:p>
        </w:tc>
        <w:tc>
          <w:tcPr>
            <w:tcW w:w="5687" w:type="dxa"/>
            <w:noWrap w:val="0"/>
            <w:vAlign w:val="center"/>
          </w:tcPr>
          <w:p w14:paraId="38DB2E2A">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网络市场消费贡献度=网上零售额/社会零售总额。近2年，创建地区网上零售额在社会零售总额中的占比超过</w:t>
            </w:r>
            <w:r>
              <w:rPr>
                <w:rFonts w:hint="default" w:ascii="Times New Roman" w:hAnsi="Times New Roman" w:eastAsia="仿宋_GB2312" w:cs="Times New Roman"/>
                <w:spacing w:val="0"/>
                <w:sz w:val="21"/>
                <w:szCs w:val="21"/>
                <w:lang w:eastAsia="zh-CN"/>
              </w:rPr>
              <w:t>全省</w:t>
            </w:r>
            <w:r>
              <w:rPr>
                <w:rFonts w:hint="default" w:ascii="Times New Roman" w:hAnsi="Times New Roman" w:eastAsia="仿宋_GB2312" w:cs="Times New Roman"/>
                <w:spacing w:val="0"/>
                <w:sz w:val="21"/>
                <w:szCs w:val="21"/>
              </w:rPr>
              <w:t>网上零售额在社会零售总额中的占比。超过1年得1分，共2分。</w:t>
            </w:r>
          </w:p>
        </w:tc>
        <w:tc>
          <w:tcPr>
            <w:tcW w:w="3900" w:type="dxa"/>
            <w:noWrap w:val="0"/>
            <w:vAlign w:val="center"/>
          </w:tcPr>
          <w:p w14:paraId="33EC30A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方式：数据比对、资料审查。</w:t>
            </w:r>
          </w:p>
          <w:p w14:paraId="360CCAA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来源：1.</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统计局官网；2.创建对象提供。</w:t>
            </w:r>
          </w:p>
        </w:tc>
        <w:tc>
          <w:tcPr>
            <w:tcW w:w="1915" w:type="dxa"/>
            <w:tcBorders>
              <w:right w:val="single" w:color="000000" w:sz="6" w:space="0"/>
            </w:tcBorders>
            <w:noWrap w:val="0"/>
            <w:vAlign w:val="center"/>
          </w:tcPr>
          <w:p w14:paraId="27C6BF3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经济发展局</w:t>
            </w:r>
          </w:p>
        </w:tc>
      </w:tr>
      <w:tr w14:paraId="7224D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1025" w:type="dxa"/>
            <w:vMerge w:val="continue"/>
            <w:tcBorders>
              <w:top w:val="nil"/>
              <w:left w:val="single" w:color="000000" w:sz="6" w:space="0"/>
              <w:bottom w:val="nil"/>
            </w:tcBorders>
            <w:noWrap w:val="0"/>
            <w:vAlign w:val="center"/>
          </w:tcPr>
          <w:p w14:paraId="38626986">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rPr>
            </w:pPr>
          </w:p>
        </w:tc>
        <w:tc>
          <w:tcPr>
            <w:tcW w:w="362" w:type="dxa"/>
            <w:noWrap w:val="0"/>
            <w:vAlign w:val="center"/>
          </w:tcPr>
          <w:p w14:paraId="6D6964A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7</w:t>
            </w:r>
          </w:p>
        </w:tc>
        <w:tc>
          <w:tcPr>
            <w:tcW w:w="588" w:type="dxa"/>
            <w:noWrap w:val="0"/>
            <w:vAlign w:val="center"/>
          </w:tcPr>
          <w:p w14:paraId="5DDB66C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定量</w:t>
            </w:r>
          </w:p>
        </w:tc>
        <w:tc>
          <w:tcPr>
            <w:tcW w:w="1750" w:type="dxa"/>
            <w:noWrap w:val="0"/>
            <w:vAlign w:val="center"/>
          </w:tcPr>
          <w:p w14:paraId="30C95DF1">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网络市场就业</w:t>
            </w:r>
          </w:p>
          <w:p w14:paraId="6476D1C8">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贡献度（2分）</w:t>
            </w:r>
          </w:p>
        </w:tc>
        <w:tc>
          <w:tcPr>
            <w:tcW w:w="5687" w:type="dxa"/>
            <w:noWrap w:val="0"/>
            <w:vAlign w:val="center"/>
          </w:tcPr>
          <w:p w14:paraId="37B02AC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6"/>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网络市场就业贡献度=网络市场就业人员数量/地方就业人员总数量。占比3%-5%得1分，5%以上得2分。</w:t>
            </w:r>
          </w:p>
        </w:tc>
        <w:tc>
          <w:tcPr>
            <w:tcW w:w="3900" w:type="dxa"/>
            <w:noWrap w:val="0"/>
            <w:vAlign w:val="center"/>
          </w:tcPr>
          <w:p w14:paraId="23BE62D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方式：资料审查、专家评估。</w:t>
            </w:r>
          </w:p>
          <w:p w14:paraId="0CFC2E3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来源：创建对象提供。</w:t>
            </w:r>
          </w:p>
        </w:tc>
        <w:tc>
          <w:tcPr>
            <w:tcW w:w="1915" w:type="dxa"/>
            <w:tcBorders>
              <w:right w:val="single" w:color="000000" w:sz="6" w:space="0"/>
            </w:tcBorders>
            <w:noWrap w:val="0"/>
            <w:vAlign w:val="center"/>
          </w:tcPr>
          <w:p w14:paraId="000CFE7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科技创新局</w:t>
            </w:r>
          </w:p>
          <w:p w14:paraId="06B6650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市场监管局</w:t>
            </w:r>
          </w:p>
        </w:tc>
      </w:tr>
      <w:tr w14:paraId="7856B2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2" w:hRule="atLeast"/>
        </w:trPr>
        <w:tc>
          <w:tcPr>
            <w:tcW w:w="1025" w:type="dxa"/>
            <w:vMerge w:val="continue"/>
            <w:tcBorders>
              <w:top w:val="nil"/>
              <w:left w:val="single" w:color="000000" w:sz="6" w:space="0"/>
              <w:bottom w:val="nil"/>
            </w:tcBorders>
            <w:noWrap w:val="0"/>
            <w:vAlign w:val="center"/>
          </w:tcPr>
          <w:p w14:paraId="1A2FEF2E">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rPr>
            </w:pPr>
          </w:p>
        </w:tc>
        <w:tc>
          <w:tcPr>
            <w:tcW w:w="362" w:type="dxa"/>
            <w:noWrap w:val="0"/>
            <w:vAlign w:val="center"/>
          </w:tcPr>
          <w:p w14:paraId="2F948EA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8</w:t>
            </w:r>
          </w:p>
        </w:tc>
        <w:tc>
          <w:tcPr>
            <w:tcW w:w="588" w:type="dxa"/>
            <w:noWrap w:val="0"/>
            <w:vAlign w:val="center"/>
          </w:tcPr>
          <w:p w14:paraId="62E1264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定量</w:t>
            </w:r>
          </w:p>
        </w:tc>
        <w:tc>
          <w:tcPr>
            <w:tcW w:w="1750" w:type="dxa"/>
            <w:noWrap w:val="0"/>
            <w:vAlign w:val="center"/>
          </w:tcPr>
          <w:p w14:paraId="3B52898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网络市场税收</w:t>
            </w:r>
          </w:p>
          <w:p w14:paraId="59E7071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贡献度(2分)</w:t>
            </w:r>
          </w:p>
        </w:tc>
        <w:tc>
          <w:tcPr>
            <w:tcW w:w="5687" w:type="dxa"/>
            <w:noWrap w:val="0"/>
            <w:vAlign w:val="center"/>
          </w:tcPr>
          <w:p w14:paraId="7632698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网络市场税收贡献度=电子商务纳税额/地区总税收额。占比3%-5%得1分，5%以上得2分。</w:t>
            </w:r>
          </w:p>
        </w:tc>
        <w:tc>
          <w:tcPr>
            <w:tcW w:w="3900" w:type="dxa"/>
            <w:noWrap w:val="0"/>
            <w:vAlign w:val="center"/>
          </w:tcPr>
          <w:p w14:paraId="1B1901B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方式：资料审查、专家评估。</w:t>
            </w:r>
          </w:p>
          <w:p w14:paraId="0863EE8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来源：创建对象提供。</w:t>
            </w:r>
          </w:p>
        </w:tc>
        <w:tc>
          <w:tcPr>
            <w:tcW w:w="1915" w:type="dxa"/>
            <w:tcBorders>
              <w:right w:val="single" w:color="000000" w:sz="6" w:space="0"/>
            </w:tcBorders>
            <w:noWrap w:val="0"/>
            <w:vAlign w:val="center"/>
          </w:tcPr>
          <w:p w14:paraId="5D4F9A0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市场监管局</w:t>
            </w:r>
          </w:p>
          <w:p w14:paraId="0317053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税务局</w:t>
            </w:r>
          </w:p>
        </w:tc>
      </w:tr>
      <w:tr w14:paraId="023CE8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8" w:hRule="atLeast"/>
        </w:trPr>
        <w:tc>
          <w:tcPr>
            <w:tcW w:w="1025" w:type="dxa"/>
            <w:vMerge w:val="continue"/>
            <w:tcBorders>
              <w:top w:val="nil"/>
              <w:left w:val="single" w:color="000000" w:sz="6" w:space="0"/>
              <w:bottom w:val="nil"/>
            </w:tcBorders>
            <w:noWrap w:val="0"/>
            <w:vAlign w:val="center"/>
          </w:tcPr>
          <w:p w14:paraId="7CA5D6FA">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rPr>
            </w:pPr>
          </w:p>
        </w:tc>
        <w:tc>
          <w:tcPr>
            <w:tcW w:w="362" w:type="dxa"/>
            <w:noWrap w:val="0"/>
            <w:vAlign w:val="center"/>
          </w:tcPr>
          <w:p w14:paraId="46FFE41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9</w:t>
            </w:r>
          </w:p>
        </w:tc>
        <w:tc>
          <w:tcPr>
            <w:tcW w:w="588" w:type="dxa"/>
            <w:noWrap w:val="0"/>
            <w:vAlign w:val="center"/>
          </w:tcPr>
          <w:p w14:paraId="7865EEC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定量</w:t>
            </w:r>
          </w:p>
        </w:tc>
        <w:tc>
          <w:tcPr>
            <w:tcW w:w="1750" w:type="dxa"/>
            <w:noWrap w:val="0"/>
            <w:vAlign w:val="center"/>
          </w:tcPr>
          <w:p w14:paraId="3F402321">
            <w:pPr>
              <w:pStyle w:val="10"/>
              <w:keepNext w:val="0"/>
              <w:keepLines w:val="0"/>
              <w:pageBreakBefore w:val="0"/>
              <w:widowControl w:val="0"/>
              <w:kinsoku/>
              <w:wordWrap/>
              <w:overflowPunct/>
              <w:topLinePunct w:val="0"/>
              <w:autoSpaceDE/>
              <w:autoSpaceDN/>
              <w:bidi w:val="0"/>
              <w:adjustRightInd/>
              <w:snapToGrid/>
              <w:spacing w:line="300" w:lineRule="exact"/>
              <w:ind w:left="0" w:right="0" w:hanging="2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存续时间2年以上的网络交易经营者占比（2分）</w:t>
            </w:r>
          </w:p>
        </w:tc>
        <w:tc>
          <w:tcPr>
            <w:tcW w:w="5687" w:type="dxa"/>
            <w:noWrap w:val="0"/>
            <w:vAlign w:val="center"/>
          </w:tcPr>
          <w:p w14:paraId="3B78C1B8">
            <w:pPr>
              <w:pStyle w:val="10"/>
              <w:keepNext w:val="0"/>
              <w:keepLines w:val="0"/>
              <w:pageBreakBefore w:val="0"/>
              <w:widowControl w:val="0"/>
              <w:kinsoku/>
              <w:wordWrap/>
              <w:overflowPunct/>
              <w:topLinePunct w:val="0"/>
              <w:autoSpaceDE/>
              <w:autoSpaceDN/>
              <w:bidi w:val="0"/>
              <w:adjustRightInd/>
              <w:snapToGrid/>
              <w:spacing w:line="300" w:lineRule="exact"/>
              <w:ind w:left="0" w:right="0" w:hanging="8"/>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存续时间2年以上的网络交易经营者数量/现有网络交易经营者数量。占比30%-50%得1分，50%以上得2分。</w:t>
            </w:r>
          </w:p>
        </w:tc>
        <w:tc>
          <w:tcPr>
            <w:tcW w:w="3900" w:type="dxa"/>
            <w:noWrap w:val="0"/>
            <w:vAlign w:val="center"/>
          </w:tcPr>
          <w:p w14:paraId="617CFDD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方式：数据比对、资料审查。</w:t>
            </w:r>
          </w:p>
          <w:p w14:paraId="2D484443">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8"/>
                <w:sz w:val="21"/>
                <w:szCs w:val="21"/>
              </w:rPr>
              <w:t>来源：1.</w:t>
            </w:r>
            <w:r>
              <w:rPr>
                <w:rFonts w:hint="default" w:ascii="Times New Roman" w:hAnsi="Times New Roman" w:eastAsia="仿宋_GB2312" w:cs="Times New Roman"/>
                <w:spacing w:val="-8"/>
                <w:sz w:val="21"/>
                <w:szCs w:val="21"/>
                <w:lang w:eastAsia="zh-CN"/>
              </w:rPr>
              <w:t>省</w:t>
            </w:r>
            <w:r>
              <w:rPr>
                <w:rFonts w:hint="default" w:ascii="Times New Roman" w:hAnsi="Times New Roman" w:eastAsia="仿宋_GB2312" w:cs="Times New Roman"/>
                <w:spacing w:val="-8"/>
                <w:sz w:val="21"/>
                <w:szCs w:val="21"/>
              </w:rPr>
              <w:t>网络交易监管平台。2.创建对象提供。</w:t>
            </w:r>
          </w:p>
        </w:tc>
        <w:tc>
          <w:tcPr>
            <w:tcW w:w="1915" w:type="dxa"/>
            <w:tcBorders>
              <w:right w:val="single" w:color="000000" w:sz="6" w:space="0"/>
            </w:tcBorders>
            <w:noWrap w:val="0"/>
            <w:vAlign w:val="center"/>
          </w:tcPr>
          <w:p w14:paraId="3BC91A8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市场监管局</w:t>
            </w:r>
          </w:p>
        </w:tc>
      </w:tr>
      <w:tr w14:paraId="397B3B2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2" w:hRule="atLeast"/>
        </w:trPr>
        <w:tc>
          <w:tcPr>
            <w:tcW w:w="1025" w:type="dxa"/>
            <w:vMerge w:val="continue"/>
            <w:tcBorders>
              <w:top w:val="nil"/>
              <w:left w:val="single" w:color="000000" w:sz="6" w:space="0"/>
            </w:tcBorders>
            <w:noWrap w:val="0"/>
            <w:vAlign w:val="center"/>
          </w:tcPr>
          <w:p w14:paraId="0C6C4B1F">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rPr>
            </w:pPr>
          </w:p>
        </w:tc>
        <w:tc>
          <w:tcPr>
            <w:tcW w:w="362" w:type="dxa"/>
            <w:noWrap w:val="0"/>
            <w:vAlign w:val="center"/>
          </w:tcPr>
          <w:p w14:paraId="2C94110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10</w:t>
            </w:r>
          </w:p>
        </w:tc>
        <w:tc>
          <w:tcPr>
            <w:tcW w:w="588" w:type="dxa"/>
            <w:noWrap w:val="0"/>
            <w:vAlign w:val="center"/>
          </w:tcPr>
          <w:p w14:paraId="3BB44BC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定性</w:t>
            </w:r>
          </w:p>
        </w:tc>
        <w:tc>
          <w:tcPr>
            <w:tcW w:w="1750" w:type="dxa"/>
            <w:noWrap w:val="0"/>
            <w:vAlign w:val="center"/>
          </w:tcPr>
          <w:p w14:paraId="5DBC273C">
            <w:pPr>
              <w:pStyle w:val="10"/>
              <w:keepNext w:val="0"/>
              <w:keepLines w:val="0"/>
              <w:pageBreakBefore w:val="0"/>
              <w:widowControl w:val="0"/>
              <w:kinsoku/>
              <w:wordWrap/>
              <w:overflowPunct/>
              <w:topLinePunct w:val="0"/>
              <w:autoSpaceDE/>
              <w:autoSpaceDN/>
              <w:bidi w:val="0"/>
              <w:adjustRightInd/>
              <w:snapToGrid/>
              <w:spacing w:line="300" w:lineRule="exact"/>
              <w:ind w:left="0" w:right="0" w:hanging="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有特色网络</w:t>
            </w:r>
          </w:p>
          <w:p w14:paraId="4A7381B4">
            <w:pPr>
              <w:pStyle w:val="10"/>
              <w:keepNext w:val="0"/>
              <w:keepLines w:val="0"/>
              <w:pageBreakBefore w:val="0"/>
              <w:widowControl w:val="0"/>
              <w:kinsoku/>
              <w:wordWrap/>
              <w:overflowPunct/>
              <w:topLinePunct w:val="0"/>
              <w:autoSpaceDE/>
              <w:autoSpaceDN/>
              <w:bidi w:val="0"/>
              <w:adjustRightInd/>
              <w:snapToGrid/>
              <w:spacing w:line="300" w:lineRule="exact"/>
              <w:ind w:left="0" w:right="0" w:hanging="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市场产业（2分）</w:t>
            </w:r>
          </w:p>
        </w:tc>
        <w:tc>
          <w:tcPr>
            <w:tcW w:w="5687" w:type="dxa"/>
            <w:noWrap w:val="0"/>
            <w:vAlign w:val="center"/>
          </w:tcPr>
          <w:p w14:paraId="42B2A43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9"/>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结合地方实际，在直播电商、跨境电商、农村电商等新业态、新模式、新领域形成地方发展特色。（2分）</w:t>
            </w:r>
          </w:p>
        </w:tc>
        <w:tc>
          <w:tcPr>
            <w:tcW w:w="3900" w:type="dxa"/>
            <w:noWrap w:val="0"/>
            <w:vAlign w:val="center"/>
          </w:tcPr>
          <w:p w14:paraId="06AD8CC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方式：资料审查、专家评估。</w:t>
            </w:r>
          </w:p>
          <w:p w14:paraId="7C5B0C3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来源：创建对象提供。</w:t>
            </w:r>
          </w:p>
        </w:tc>
        <w:tc>
          <w:tcPr>
            <w:tcW w:w="1915" w:type="dxa"/>
            <w:tcBorders>
              <w:right w:val="single" w:color="000000" w:sz="6" w:space="0"/>
            </w:tcBorders>
            <w:noWrap w:val="0"/>
            <w:vAlign w:val="center"/>
          </w:tcPr>
          <w:p w14:paraId="6BA1266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商务局</w:t>
            </w:r>
          </w:p>
        </w:tc>
      </w:tr>
      <w:tr w14:paraId="6EADF2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42" w:hRule="atLeast"/>
        </w:trPr>
        <w:tc>
          <w:tcPr>
            <w:tcW w:w="1025" w:type="dxa"/>
            <w:vMerge w:val="restart"/>
            <w:tcBorders>
              <w:left w:val="single" w:color="000000" w:sz="6" w:space="0"/>
              <w:bottom w:val="nil"/>
            </w:tcBorders>
            <w:noWrap w:val="0"/>
            <w:vAlign w:val="center"/>
          </w:tcPr>
          <w:p w14:paraId="3C82372A">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4"/>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规范监管（25分）</w:t>
            </w:r>
          </w:p>
        </w:tc>
        <w:tc>
          <w:tcPr>
            <w:tcW w:w="362" w:type="dxa"/>
            <w:noWrap w:val="0"/>
            <w:vAlign w:val="center"/>
          </w:tcPr>
          <w:p w14:paraId="64A9D99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11</w:t>
            </w:r>
          </w:p>
        </w:tc>
        <w:tc>
          <w:tcPr>
            <w:tcW w:w="588" w:type="dxa"/>
            <w:noWrap w:val="0"/>
            <w:vAlign w:val="center"/>
          </w:tcPr>
          <w:p w14:paraId="76588D53">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定性+定量</w:t>
            </w:r>
          </w:p>
        </w:tc>
        <w:tc>
          <w:tcPr>
            <w:tcW w:w="1750" w:type="dxa"/>
            <w:noWrap w:val="0"/>
            <w:vAlign w:val="center"/>
          </w:tcPr>
          <w:p w14:paraId="230DBC3A">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1"/>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强化智慧监管</w:t>
            </w:r>
          </w:p>
          <w:p w14:paraId="383CEE9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1"/>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（3分）</w:t>
            </w:r>
          </w:p>
        </w:tc>
        <w:tc>
          <w:tcPr>
            <w:tcW w:w="5687" w:type="dxa"/>
            <w:noWrap w:val="0"/>
            <w:vAlign w:val="center"/>
          </w:tcPr>
          <w:p w14:paraId="17082A2C">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通过</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网络交易监管平台，强化智慧监管，实现以网管网。</w:t>
            </w:r>
          </w:p>
          <w:p w14:paraId="527EB1D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1.</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网络交易监管平台用户数超过在编监管人员数50%；（1分）</w:t>
            </w:r>
          </w:p>
          <w:p w14:paraId="5FD5E1F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2.</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网络交易监管平台分发的网络交易经营者主体身份信息认领处置率达到100%；（1分）</w:t>
            </w:r>
          </w:p>
          <w:p w14:paraId="581F895D">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3.为</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网络交易监管平台提供系统接口和应用模型。（1分）</w:t>
            </w:r>
          </w:p>
        </w:tc>
        <w:tc>
          <w:tcPr>
            <w:tcW w:w="3900" w:type="dxa"/>
            <w:noWrap w:val="0"/>
            <w:vAlign w:val="center"/>
          </w:tcPr>
          <w:p w14:paraId="2E143DC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方式：数据比对、资料审查。</w:t>
            </w:r>
          </w:p>
          <w:p w14:paraId="663A5EE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来源：</w:t>
            </w:r>
            <w:r>
              <w:rPr>
                <w:rFonts w:hint="default" w:ascii="Times New Roman" w:hAnsi="Times New Roman" w:eastAsia="仿宋_GB2312" w:cs="Times New Roman"/>
                <w:spacing w:val="0"/>
                <w:sz w:val="21"/>
                <w:szCs w:val="21"/>
                <w:lang w:eastAsia="zh-CN"/>
              </w:rPr>
              <w:t>省</w:t>
            </w:r>
            <w:r>
              <w:rPr>
                <w:rFonts w:hint="default" w:ascii="Times New Roman" w:hAnsi="Times New Roman" w:eastAsia="仿宋_GB2312" w:cs="Times New Roman"/>
                <w:spacing w:val="0"/>
                <w:sz w:val="21"/>
                <w:szCs w:val="21"/>
              </w:rPr>
              <w:t>网络交易监管平台。</w:t>
            </w:r>
          </w:p>
        </w:tc>
        <w:tc>
          <w:tcPr>
            <w:tcW w:w="1915" w:type="dxa"/>
            <w:tcBorders>
              <w:right w:val="single" w:color="000000" w:sz="6" w:space="0"/>
            </w:tcBorders>
            <w:noWrap w:val="0"/>
            <w:vAlign w:val="center"/>
          </w:tcPr>
          <w:p w14:paraId="1DF784F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市场监管局</w:t>
            </w:r>
          </w:p>
        </w:tc>
      </w:tr>
      <w:tr w14:paraId="7418B1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45" w:hRule="atLeast"/>
        </w:trPr>
        <w:tc>
          <w:tcPr>
            <w:tcW w:w="1025" w:type="dxa"/>
            <w:vMerge w:val="continue"/>
            <w:tcBorders>
              <w:top w:val="nil"/>
              <w:left w:val="single" w:color="000000" w:sz="6" w:space="0"/>
              <w:bottom w:val="single" w:color="000000" w:sz="6" w:space="0"/>
            </w:tcBorders>
            <w:noWrap w:val="0"/>
            <w:vAlign w:val="center"/>
          </w:tcPr>
          <w:p w14:paraId="1CC5418E">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454DFE3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12</w:t>
            </w:r>
          </w:p>
        </w:tc>
        <w:tc>
          <w:tcPr>
            <w:tcW w:w="588" w:type="dxa"/>
            <w:tcBorders>
              <w:bottom w:val="single" w:color="000000" w:sz="6" w:space="0"/>
            </w:tcBorders>
            <w:noWrap w:val="0"/>
            <w:vAlign w:val="center"/>
          </w:tcPr>
          <w:p w14:paraId="7C8CADD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tcBorders>
              <w:bottom w:val="single" w:color="000000" w:sz="6" w:space="0"/>
            </w:tcBorders>
            <w:noWrap w:val="0"/>
            <w:vAlign w:val="center"/>
          </w:tcPr>
          <w:p w14:paraId="4FD8AB1C">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7"/>
                <w:sz w:val="21"/>
                <w:szCs w:val="21"/>
              </w:rPr>
              <w:t>发挥信用监管的基</w:t>
            </w:r>
            <w:r>
              <w:rPr>
                <w:rFonts w:hint="default" w:ascii="Times New Roman" w:hAnsi="Times New Roman" w:eastAsia="仿宋_GB2312" w:cs="Times New Roman"/>
                <w:spacing w:val="-2"/>
                <w:sz w:val="21"/>
                <w:szCs w:val="21"/>
              </w:rPr>
              <w:t>础作用（3分）</w:t>
            </w:r>
          </w:p>
        </w:tc>
        <w:tc>
          <w:tcPr>
            <w:tcW w:w="5687" w:type="dxa"/>
            <w:tcBorders>
              <w:bottom w:val="single" w:color="000000" w:sz="6" w:space="0"/>
            </w:tcBorders>
            <w:noWrap w:val="0"/>
            <w:vAlign w:val="center"/>
          </w:tcPr>
          <w:p w14:paraId="416E3C40">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1.完善守信联合激励和失信联合惩戒机制，形成过罚相当的信用</w:t>
            </w:r>
            <w:r>
              <w:rPr>
                <w:rFonts w:hint="default" w:ascii="Times New Roman" w:hAnsi="Times New Roman" w:eastAsia="仿宋_GB2312" w:cs="Times New Roman"/>
                <w:spacing w:val="-3"/>
                <w:sz w:val="21"/>
                <w:szCs w:val="21"/>
              </w:rPr>
              <w:t>约束机制；（1分）</w:t>
            </w:r>
          </w:p>
          <w:p w14:paraId="7A72B0B0">
            <w:pPr>
              <w:pStyle w:val="10"/>
              <w:keepNext w:val="0"/>
              <w:keepLines w:val="0"/>
              <w:pageBreakBefore w:val="0"/>
              <w:widowControl w:val="0"/>
              <w:kinsoku/>
              <w:wordWrap/>
              <w:overflowPunct/>
              <w:topLinePunct w:val="0"/>
              <w:autoSpaceDE/>
              <w:autoSpaceDN/>
              <w:bidi w:val="0"/>
              <w:adjustRightInd/>
              <w:snapToGrid/>
              <w:spacing w:line="300" w:lineRule="exact"/>
              <w:ind w:left="0" w:right="0" w:hanging="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2.加强信用信息跨部门归集共享，完善信用信息</w:t>
            </w:r>
            <w:r>
              <w:rPr>
                <w:rFonts w:hint="default" w:ascii="Times New Roman" w:hAnsi="Times New Roman" w:eastAsia="仿宋_GB2312" w:cs="Times New Roman"/>
                <w:spacing w:val="1"/>
                <w:sz w:val="21"/>
                <w:szCs w:val="21"/>
              </w:rPr>
              <w:t>公示和信用修</w:t>
            </w:r>
            <w:r>
              <w:rPr>
                <w:rFonts w:hint="default" w:ascii="Times New Roman" w:hAnsi="Times New Roman" w:eastAsia="仿宋_GB2312" w:cs="Times New Roman"/>
                <w:spacing w:val="-4"/>
                <w:sz w:val="21"/>
                <w:szCs w:val="21"/>
              </w:rPr>
              <w:t>复；（1分）</w:t>
            </w:r>
          </w:p>
          <w:p w14:paraId="6477B3E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2"/>
                <w:sz w:val="21"/>
                <w:szCs w:val="21"/>
              </w:rPr>
              <w:t>3.探索开展信用分级分类监管，根据信用风险等级，采取差异化</w:t>
            </w:r>
            <w:r>
              <w:rPr>
                <w:rFonts w:hint="default" w:ascii="Times New Roman" w:hAnsi="Times New Roman" w:eastAsia="仿宋_GB2312" w:cs="Times New Roman"/>
                <w:spacing w:val="-3"/>
                <w:sz w:val="21"/>
                <w:szCs w:val="21"/>
              </w:rPr>
              <w:t>监管措施。（1分）</w:t>
            </w:r>
          </w:p>
        </w:tc>
        <w:tc>
          <w:tcPr>
            <w:tcW w:w="3900" w:type="dxa"/>
            <w:tcBorders>
              <w:bottom w:val="single" w:color="000000" w:sz="6" w:space="0"/>
            </w:tcBorders>
            <w:noWrap w:val="0"/>
            <w:vAlign w:val="center"/>
          </w:tcPr>
          <w:p w14:paraId="69ADF6B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8"/>
                <w:sz w:val="21"/>
                <w:szCs w:val="21"/>
              </w:rPr>
            </w:pPr>
            <w:r>
              <w:rPr>
                <w:rFonts w:hint="default" w:ascii="Times New Roman" w:hAnsi="Times New Roman" w:eastAsia="仿宋_GB2312" w:cs="Times New Roman"/>
                <w:spacing w:val="-8"/>
                <w:sz w:val="21"/>
                <w:szCs w:val="21"/>
              </w:rPr>
              <w:t>方式：资料审查、专家评估。</w:t>
            </w:r>
          </w:p>
          <w:p w14:paraId="68DE408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8"/>
                <w:sz w:val="21"/>
                <w:szCs w:val="21"/>
              </w:rPr>
            </w:pPr>
            <w:r>
              <w:rPr>
                <w:rFonts w:hint="default" w:ascii="Times New Roman" w:hAnsi="Times New Roman" w:eastAsia="仿宋_GB2312" w:cs="Times New Roman"/>
                <w:spacing w:val="-8"/>
                <w:sz w:val="21"/>
                <w:szCs w:val="21"/>
              </w:rPr>
              <w:t>来源：创建对象提供。</w:t>
            </w:r>
          </w:p>
        </w:tc>
        <w:tc>
          <w:tcPr>
            <w:tcW w:w="1915" w:type="dxa"/>
            <w:tcBorders>
              <w:bottom w:val="single" w:color="000000" w:sz="6" w:space="0"/>
              <w:right w:val="single" w:color="000000" w:sz="6" w:space="0"/>
            </w:tcBorders>
            <w:noWrap w:val="0"/>
            <w:vAlign w:val="center"/>
          </w:tcPr>
          <w:p w14:paraId="49AAAC3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bl>
    <w:tbl>
      <w:tblPr>
        <w:tblStyle w:val="9"/>
        <w:tblW w:w="0" w:type="auto"/>
        <w:tblInd w:w="-75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5"/>
        <w:gridCol w:w="362"/>
        <w:gridCol w:w="588"/>
        <w:gridCol w:w="1750"/>
        <w:gridCol w:w="5687"/>
        <w:gridCol w:w="3900"/>
        <w:gridCol w:w="1915"/>
      </w:tblGrid>
      <w:tr w14:paraId="2F125B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25" w:type="dxa"/>
            <w:tcBorders>
              <w:top w:val="single" w:color="000000" w:sz="6" w:space="0"/>
              <w:left w:val="single" w:color="000000" w:sz="6" w:space="0"/>
            </w:tcBorders>
            <w:noWrap w:val="0"/>
            <w:vAlign w:val="center"/>
          </w:tcPr>
          <w:p w14:paraId="3B1ADEB3">
            <w:pPr>
              <w:jc w:val="center"/>
              <w:rPr>
                <w:rFonts w:hint="eastAsia" w:ascii="Times New Roman" w:hAnsi="Times New Roman" w:eastAsia="黑体" w:cs="黑体"/>
              </w:rPr>
            </w:pPr>
            <w:r>
              <w:rPr>
                <w:rFonts w:hint="eastAsia" w:ascii="Times New Roman" w:hAnsi="Times New Roman" w:eastAsia="黑体" w:cs="黑体"/>
              </w:rPr>
              <w:t>一级指标</w:t>
            </w:r>
          </w:p>
        </w:tc>
        <w:tc>
          <w:tcPr>
            <w:tcW w:w="362" w:type="dxa"/>
            <w:tcBorders>
              <w:top w:val="single" w:color="000000" w:sz="6" w:space="0"/>
            </w:tcBorders>
            <w:noWrap w:val="0"/>
            <w:vAlign w:val="center"/>
          </w:tcPr>
          <w:p w14:paraId="06753900">
            <w:pPr>
              <w:jc w:val="center"/>
              <w:rPr>
                <w:rFonts w:hint="eastAsia" w:ascii="Times New Roman" w:hAnsi="Times New Roman" w:eastAsia="黑体" w:cs="黑体"/>
              </w:rPr>
            </w:pPr>
            <w:r>
              <w:rPr>
                <w:rFonts w:hint="eastAsia" w:ascii="Times New Roman" w:hAnsi="Times New Roman" w:eastAsia="黑体" w:cs="黑体"/>
              </w:rPr>
              <w:t>编号</w:t>
            </w:r>
          </w:p>
        </w:tc>
        <w:tc>
          <w:tcPr>
            <w:tcW w:w="588" w:type="dxa"/>
            <w:tcBorders>
              <w:top w:val="single" w:color="000000" w:sz="6" w:space="0"/>
            </w:tcBorders>
            <w:noWrap w:val="0"/>
            <w:vAlign w:val="center"/>
          </w:tcPr>
          <w:p w14:paraId="5EA50F77">
            <w:pPr>
              <w:jc w:val="center"/>
              <w:rPr>
                <w:rFonts w:hint="eastAsia" w:ascii="Times New Roman" w:hAnsi="Times New Roman" w:eastAsia="黑体" w:cs="黑体"/>
              </w:rPr>
            </w:pPr>
            <w:r>
              <w:rPr>
                <w:rFonts w:hint="eastAsia" w:ascii="Times New Roman" w:hAnsi="Times New Roman" w:eastAsia="黑体" w:cs="黑体"/>
              </w:rPr>
              <w:t>变量性质</w:t>
            </w:r>
          </w:p>
        </w:tc>
        <w:tc>
          <w:tcPr>
            <w:tcW w:w="1750" w:type="dxa"/>
            <w:tcBorders>
              <w:top w:val="single" w:color="000000" w:sz="6" w:space="0"/>
            </w:tcBorders>
            <w:noWrap w:val="0"/>
            <w:vAlign w:val="center"/>
          </w:tcPr>
          <w:p w14:paraId="72503AA8">
            <w:pPr>
              <w:jc w:val="center"/>
              <w:rPr>
                <w:rFonts w:hint="eastAsia" w:ascii="Times New Roman" w:hAnsi="Times New Roman" w:eastAsia="黑体" w:cs="黑体"/>
              </w:rPr>
            </w:pPr>
            <w:r>
              <w:rPr>
                <w:rFonts w:hint="eastAsia" w:ascii="Times New Roman" w:hAnsi="Times New Roman" w:eastAsia="黑体" w:cs="黑体"/>
              </w:rPr>
              <w:t>三级指标</w:t>
            </w:r>
          </w:p>
        </w:tc>
        <w:tc>
          <w:tcPr>
            <w:tcW w:w="5687" w:type="dxa"/>
            <w:tcBorders>
              <w:top w:val="single" w:color="000000" w:sz="6" w:space="0"/>
            </w:tcBorders>
            <w:noWrap w:val="0"/>
            <w:vAlign w:val="center"/>
          </w:tcPr>
          <w:p w14:paraId="1579A0D9">
            <w:pPr>
              <w:jc w:val="center"/>
              <w:rPr>
                <w:rFonts w:hint="eastAsia" w:ascii="Times New Roman" w:hAnsi="Times New Roman" w:eastAsia="黑体" w:cs="黑体"/>
              </w:rPr>
            </w:pPr>
            <w:r>
              <w:rPr>
                <w:rFonts w:hint="eastAsia" w:ascii="Times New Roman" w:hAnsi="Times New Roman" w:eastAsia="黑体" w:cs="黑体"/>
              </w:rPr>
              <w:t>指标说明及打分标准</w:t>
            </w:r>
          </w:p>
        </w:tc>
        <w:tc>
          <w:tcPr>
            <w:tcW w:w="3900" w:type="dxa"/>
            <w:tcBorders>
              <w:top w:val="single" w:color="000000" w:sz="6" w:space="0"/>
            </w:tcBorders>
            <w:noWrap w:val="0"/>
            <w:vAlign w:val="center"/>
          </w:tcPr>
          <w:p w14:paraId="60C1D2DB">
            <w:pPr>
              <w:jc w:val="center"/>
              <w:rPr>
                <w:rFonts w:hint="eastAsia" w:ascii="Times New Roman" w:hAnsi="Times New Roman" w:eastAsia="黑体" w:cs="黑体"/>
              </w:rPr>
            </w:pPr>
            <w:r>
              <w:rPr>
                <w:rFonts w:hint="eastAsia" w:ascii="Times New Roman" w:hAnsi="Times New Roman" w:eastAsia="黑体" w:cs="黑体"/>
              </w:rPr>
              <w:t>评估方式及数据或资料来源</w:t>
            </w:r>
          </w:p>
        </w:tc>
        <w:tc>
          <w:tcPr>
            <w:tcW w:w="1915" w:type="dxa"/>
            <w:tcBorders>
              <w:top w:val="single" w:color="000000" w:sz="6" w:space="0"/>
              <w:right w:val="single" w:color="000000" w:sz="6" w:space="0"/>
            </w:tcBorders>
            <w:noWrap w:val="0"/>
            <w:vAlign w:val="center"/>
          </w:tcPr>
          <w:p w14:paraId="636AA36A">
            <w:pPr>
              <w:jc w:val="center"/>
              <w:rPr>
                <w:rFonts w:hint="eastAsia" w:ascii="Times New Roman" w:hAnsi="Times New Roman" w:eastAsia="黑体" w:cs="黑体"/>
              </w:rPr>
            </w:pPr>
            <w:r>
              <w:rPr>
                <w:rFonts w:hint="eastAsia" w:ascii="Times New Roman" w:hAnsi="Times New Roman" w:eastAsia="黑体" w:cs="黑体"/>
              </w:rPr>
              <w:t>责任单位或数据材料</w:t>
            </w:r>
          </w:p>
          <w:p w14:paraId="0A99D206">
            <w:pPr>
              <w:jc w:val="center"/>
              <w:rPr>
                <w:rFonts w:hint="eastAsia" w:ascii="Times New Roman" w:hAnsi="Times New Roman" w:eastAsia="黑体" w:cs="黑体"/>
              </w:rPr>
            </w:pPr>
            <w:r>
              <w:rPr>
                <w:rFonts w:hint="eastAsia" w:ascii="Times New Roman" w:hAnsi="Times New Roman" w:eastAsia="黑体" w:cs="黑体"/>
              </w:rPr>
              <w:t>提供单位</w:t>
            </w:r>
          </w:p>
        </w:tc>
      </w:tr>
      <w:tr w14:paraId="5E225FF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08" w:hRule="atLeast"/>
        </w:trPr>
        <w:tc>
          <w:tcPr>
            <w:tcW w:w="1025" w:type="dxa"/>
            <w:vMerge w:val="restart"/>
            <w:tcBorders>
              <w:left w:val="single" w:color="000000" w:sz="6" w:space="0"/>
              <w:bottom w:val="nil"/>
            </w:tcBorders>
            <w:noWrap w:val="0"/>
            <w:vAlign w:val="center"/>
          </w:tcPr>
          <w:p w14:paraId="377F431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4"/>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规范</w:t>
            </w:r>
            <w:r>
              <w:rPr>
                <w:rFonts w:hint="default" w:ascii="Times New Roman" w:hAnsi="Times New Roman" w:eastAsia="仿宋_GB2312" w:cs="Times New Roman"/>
                <w:sz w:val="21"/>
                <w:szCs w:val="21"/>
              </w:rPr>
              <w:t>监管</w:t>
            </w:r>
            <w:r>
              <w:rPr>
                <w:rFonts w:hint="default" w:ascii="Times New Roman" w:hAnsi="Times New Roman" w:eastAsia="仿宋_GB2312" w:cs="Times New Roman"/>
                <w:spacing w:val="-7"/>
                <w:sz w:val="21"/>
                <w:szCs w:val="21"/>
              </w:rPr>
              <w:t>（25</w:t>
            </w:r>
            <w:r>
              <w:rPr>
                <w:rFonts w:hint="default" w:ascii="Times New Roman" w:hAnsi="Times New Roman" w:eastAsia="仿宋_GB2312" w:cs="Times New Roman"/>
                <w:spacing w:val="-1"/>
                <w:sz w:val="21"/>
                <w:szCs w:val="21"/>
              </w:rPr>
              <w:t>分）</w:t>
            </w:r>
          </w:p>
        </w:tc>
        <w:tc>
          <w:tcPr>
            <w:tcW w:w="362" w:type="dxa"/>
            <w:noWrap w:val="0"/>
            <w:vAlign w:val="center"/>
          </w:tcPr>
          <w:p w14:paraId="5DECA86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13</w:t>
            </w:r>
          </w:p>
        </w:tc>
        <w:tc>
          <w:tcPr>
            <w:tcW w:w="588" w:type="dxa"/>
            <w:noWrap w:val="0"/>
            <w:vAlign w:val="center"/>
          </w:tcPr>
          <w:p w14:paraId="1BDA7E1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3431635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建立健全协同监管</w:t>
            </w:r>
            <w:r>
              <w:rPr>
                <w:rFonts w:hint="default" w:ascii="Times New Roman" w:hAnsi="Times New Roman" w:eastAsia="仿宋_GB2312" w:cs="Times New Roman"/>
                <w:spacing w:val="-5"/>
                <w:sz w:val="21"/>
                <w:szCs w:val="21"/>
              </w:rPr>
              <w:t>（3分）</w:t>
            </w:r>
          </w:p>
        </w:tc>
        <w:tc>
          <w:tcPr>
            <w:tcW w:w="5687" w:type="dxa"/>
            <w:noWrap w:val="0"/>
            <w:vAlign w:val="center"/>
          </w:tcPr>
          <w:p w14:paraId="4B40594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1.</w:t>
            </w:r>
            <w:r>
              <w:rPr>
                <w:rFonts w:hint="default" w:ascii="Times New Roman" w:hAnsi="Times New Roman" w:eastAsia="仿宋_GB2312" w:cs="Times New Roman"/>
                <w:spacing w:val="-17"/>
                <w:sz w:val="21"/>
                <w:szCs w:val="21"/>
              </w:rPr>
              <w:t>建立网络执法办案会商和联合执法机制，协作办理涉网案件；（1分）</w:t>
            </w:r>
          </w:p>
          <w:p w14:paraId="592E27D3">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2.多部门联合开展网剑行动等网络市场专项整治</w:t>
            </w:r>
            <w:r>
              <w:rPr>
                <w:rFonts w:hint="default" w:ascii="Times New Roman" w:hAnsi="Times New Roman" w:eastAsia="仿宋_GB2312" w:cs="Times New Roman"/>
                <w:spacing w:val="1"/>
                <w:sz w:val="21"/>
                <w:szCs w:val="21"/>
              </w:rPr>
              <w:t>；（</w:t>
            </w:r>
            <w:r>
              <w:rPr>
                <w:rFonts w:hint="default" w:ascii="Times New Roman" w:hAnsi="Times New Roman" w:eastAsia="仿宋_GB2312" w:cs="Times New Roman"/>
                <w:spacing w:val="-1"/>
                <w:sz w:val="21"/>
                <w:szCs w:val="21"/>
              </w:rPr>
              <w:t>1分）</w:t>
            </w:r>
          </w:p>
          <w:p w14:paraId="4EB049A4">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3.协助外地办理涉网案件或者请外地协助办理涉网案件。（1分）</w:t>
            </w:r>
          </w:p>
        </w:tc>
        <w:tc>
          <w:tcPr>
            <w:tcW w:w="3900" w:type="dxa"/>
            <w:noWrap w:val="0"/>
            <w:vAlign w:val="center"/>
          </w:tcPr>
          <w:p w14:paraId="7992697A">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591FF0A0">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15" w:type="dxa"/>
            <w:tcBorders>
              <w:right w:val="single" w:color="000000" w:sz="6" w:space="0"/>
            </w:tcBorders>
            <w:noWrap w:val="0"/>
            <w:vAlign w:val="center"/>
          </w:tcPr>
          <w:p w14:paraId="48CF15A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区网络市场监管部门</w:t>
            </w:r>
          </w:p>
          <w:p w14:paraId="269720E8">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联席会议成员单位</w:t>
            </w:r>
          </w:p>
        </w:tc>
      </w:tr>
      <w:tr w14:paraId="6FB1112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658" w:hRule="atLeast"/>
        </w:trPr>
        <w:tc>
          <w:tcPr>
            <w:tcW w:w="1025" w:type="dxa"/>
            <w:vMerge w:val="continue"/>
            <w:tcBorders>
              <w:top w:val="nil"/>
              <w:left w:val="single" w:color="000000" w:sz="6" w:space="0"/>
              <w:bottom w:val="nil"/>
            </w:tcBorders>
            <w:noWrap w:val="0"/>
            <w:vAlign w:val="center"/>
          </w:tcPr>
          <w:p w14:paraId="0BFA8D74">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0D0FBB4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14</w:t>
            </w:r>
          </w:p>
        </w:tc>
        <w:tc>
          <w:tcPr>
            <w:tcW w:w="588" w:type="dxa"/>
            <w:noWrap w:val="0"/>
            <w:vAlign w:val="center"/>
          </w:tcPr>
          <w:p w14:paraId="24E1881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1EAFE3DC">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9"/>
                <w:sz w:val="21"/>
                <w:szCs w:val="21"/>
              </w:rPr>
              <w:t>完善事前事中事后</w:t>
            </w:r>
            <w:r>
              <w:rPr>
                <w:rFonts w:hint="default" w:ascii="Times New Roman" w:hAnsi="Times New Roman" w:eastAsia="仿宋_GB2312" w:cs="Times New Roman"/>
                <w:spacing w:val="-3"/>
                <w:sz w:val="21"/>
                <w:szCs w:val="21"/>
              </w:rPr>
              <w:t>监管（3分）</w:t>
            </w:r>
          </w:p>
        </w:tc>
        <w:tc>
          <w:tcPr>
            <w:tcW w:w="5687" w:type="dxa"/>
            <w:noWrap w:val="0"/>
            <w:vAlign w:val="center"/>
          </w:tcPr>
          <w:p w14:paraId="64AB31A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2"/>
              <w:jc w:val="left"/>
              <w:textAlignment w:val="auto"/>
              <w:outlineLvl w:val="9"/>
              <w:rPr>
                <w:rFonts w:hint="default" w:ascii="Times New Roman" w:hAnsi="Times New Roman" w:eastAsia="仿宋_GB2312" w:cs="Times New Roman"/>
                <w:spacing w:val="-13"/>
                <w:sz w:val="21"/>
                <w:szCs w:val="21"/>
              </w:rPr>
            </w:pPr>
            <w:r>
              <w:rPr>
                <w:rFonts w:hint="default" w:ascii="Times New Roman" w:hAnsi="Times New Roman" w:eastAsia="仿宋_GB2312" w:cs="Times New Roman"/>
                <w:sz w:val="21"/>
                <w:szCs w:val="21"/>
              </w:rPr>
              <w:t>1.灵活运用行政指导、行政约谈、提醒告诫、警示通报等柔性</w:t>
            </w:r>
            <w:r>
              <w:rPr>
                <w:rFonts w:hint="default" w:ascii="Times New Roman" w:hAnsi="Times New Roman" w:eastAsia="仿宋_GB2312" w:cs="Times New Roman"/>
                <w:spacing w:val="-13"/>
                <w:sz w:val="21"/>
                <w:szCs w:val="21"/>
              </w:rPr>
              <w:t>手段，加强事前指导，督促网络交易经营者依法合规经营；（1分）</w:t>
            </w:r>
          </w:p>
          <w:p w14:paraId="57BCCD4E">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2"/>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2.建立健全网络监测和监督抽查机制，及时发现和处</w:t>
            </w:r>
            <w:r>
              <w:rPr>
                <w:rFonts w:hint="default" w:ascii="Times New Roman" w:hAnsi="Times New Roman" w:eastAsia="仿宋_GB2312" w:cs="Times New Roman"/>
                <w:spacing w:val="-7"/>
                <w:sz w:val="21"/>
                <w:szCs w:val="21"/>
              </w:rPr>
              <w:t>置网络市场</w:t>
            </w:r>
            <w:r>
              <w:rPr>
                <w:rFonts w:hint="default" w:ascii="Times New Roman" w:hAnsi="Times New Roman" w:eastAsia="仿宋_GB2312" w:cs="Times New Roman"/>
                <w:spacing w:val="-3"/>
                <w:sz w:val="21"/>
                <w:szCs w:val="21"/>
              </w:rPr>
              <w:t>风险隐患</w:t>
            </w:r>
            <w:r>
              <w:rPr>
                <w:rFonts w:hint="default" w:ascii="Times New Roman" w:hAnsi="Times New Roman" w:eastAsia="仿宋_GB2312" w:cs="Times New Roman"/>
                <w:spacing w:val="-2"/>
                <w:sz w:val="21"/>
                <w:szCs w:val="21"/>
              </w:rPr>
              <w:t>；（</w:t>
            </w:r>
            <w:r>
              <w:rPr>
                <w:rFonts w:hint="default" w:ascii="Times New Roman" w:hAnsi="Times New Roman" w:eastAsia="仿宋_GB2312" w:cs="Times New Roman"/>
                <w:spacing w:val="-3"/>
                <w:sz w:val="21"/>
                <w:szCs w:val="21"/>
              </w:rPr>
              <w:t>1分）</w:t>
            </w:r>
          </w:p>
          <w:p w14:paraId="254500A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3.综合运用行政检查、行政处罚、强制检查等手段，强化对违法</w:t>
            </w:r>
            <w:r>
              <w:rPr>
                <w:rFonts w:hint="default" w:ascii="Times New Roman" w:hAnsi="Times New Roman" w:eastAsia="仿宋_GB2312" w:cs="Times New Roman"/>
                <w:spacing w:val="-1"/>
                <w:sz w:val="21"/>
                <w:szCs w:val="21"/>
              </w:rPr>
              <w:t>行为的事中事后监管。（1分）</w:t>
            </w:r>
          </w:p>
        </w:tc>
        <w:tc>
          <w:tcPr>
            <w:tcW w:w="3900" w:type="dxa"/>
            <w:noWrap w:val="0"/>
            <w:vAlign w:val="center"/>
          </w:tcPr>
          <w:p w14:paraId="504133A6">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40BE5239">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15" w:type="dxa"/>
            <w:tcBorders>
              <w:right w:val="single" w:color="000000" w:sz="6" w:space="0"/>
            </w:tcBorders>
            <w:noWrap w:val="0"/>
            <w:vAlign w:val="center"/>
          </w:tcPr>
          <w:p w14:paraId="7EBBE01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区网络市场监管部门</w:t>
            </w:r>
          </w:p>
          <w:p w14:paraId="3934C5A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0"/>
                <w:sz w:val="21"/>
                <w:szCs w:val="21"/>
                <w:lang w:eastAsia="zh-CN"/>
              </w:rPr>
            </w:pPr>
            <w:r>
              <w:rPr>
                <w:rFonts w:hint="default" w:ascii="Times New Roman" w:hAnsi="Times New Roman" w:eastAsia="仿宋_GB2312" w:cs="Times New Roman"/>
                <w:spacing w:val="0"/>
                <w:sz w:val="21"/>
                <w:szCs w:val="21"/>
                <w:lang w:eastAsia="zh-CN"/>
              </w:rPr>
              <w:t>联席会议成员单位</w:t>
            </w:r>
          </w:p>
        </w:tc>
      </w:tr>
      <w:tr w14:paraId="7DB874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8" w:hRule="atLeast"/>
        </w:trPr>
        <w:tc>
          <w:tcPr>
            <w:tcW w:w="1025" w:type="dxa"/>
            <w:vMerge w:val="continue"/>
            <w:tcBorders>
              <w:top w:val="nil"/>
              <w:left w:val="single" w:color="000000" w:sz="6" w:space="0"/>
              <w:bottom w:val="nil"/>
            </w:tcBorders>
            <w:noWrap w:val="0"/>
            <w:vAlign w:val="center"/>
          </w:tcPr>
          <w:p w14:paraId="6D41BCAE">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1FE6284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15</w:t>
            </w:r>
          </w:p>
        </w:tc>
        <w:tc>
          <w:tcPr>
            <w:tcW w:w="588" w:type="dxa"/>
            <w:noWrap w:val="0"/>
            <w:vAlign w:val="center"/>
          </w:tcPr>
          <w:p w14:paraId="06EF770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0722CBD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构建社会共治格局</w:t>
            </w:r>
            <w:r>
              <w:rPr>
                <w:rFonts w:hint="default" w:ascii="Times New Roman" w:hAnsi="Times New Roman" w:eastAsia="仿宋_GB2312" w:cs="Times New Roman"/>
                <w:spacing w:val="-5"/>
                <w:sz w:val="21"/>
                <w:szCs w:val="21"/>
              </w:rPr>
              <w:t>（3分）</w:t>
            </w:r>
          </w:p>
        </w:tc>
        <w:tc>
          <w:tcPr>
            <w:tcW w:w="5687" w:type="dxa"/>
            <w:noWrap w:val="0"/>
            <w:vAlign w:val="center"/>
          </w:tcPr>
          <w:p w14:paraId="2FD9AB4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4"/>
              <w:jc w:val="left"/>
              <w:textAlignment w:val="auto"/>
              <w:outlineLvl w:val="9"/>
              <w:rPr>
                <w:rFonts w:hint="default" w:ascii="Times New Roman" w:hAnsi="Times New Roman" w:eastAsia="仿宋_GB2312" w:cs="Times New Roman"/>
                <w:spacing w:val="-20"/>
                <w:sz w:val="21"/>
                <w:szCs w:val="21"/>
              </w:rPr>
            </w:pPr>
            <w:r>
              <w:rPr>
                <w:rFonts w:hint="default" w:ascii="Times New Roman" w:hAnsi="Times New Roman" w:eastAsia="仿宋_GB2312" w:cs="Times New Roman"/>
                <w:spacing w:val="-20"/>
                <w:sz w:val="21"/>
                <w:szCs w:val="21"/>
              </w:rPr>
              <w:t>1.</w:t>
            </w:r>
            <w:r>
              <w:rPr>
                <w:rFonts w:hint="default" w:ascii="Times New Roman" w:hAnsi="Times New Roman" w:eastAsia="仿宋_GB2312" w:cs="Times New Roman"/>
                <w:spacing w:val="-11"/>
                <w:sz w:val="21"/>
                <w:szCs w:val="21"/>
              </w:rPr>
              <w:t>坚持线上线下一体化监管原则，实现审批与监管权责统一；（1分）</w:t>
            </w:r>
          </w:p>
          <w:p w14:paraId="402D4C30">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2.推动行业自律，建立平台制度</w:t>
            </w:r>
            <w:r>
              <w:rPr>
                <w:rFonts w:hint="default" w:ascii="Times New Roman" w:hAnsi="Times New Roman" w:eastAsia="仿宋_GB2312" w:cs="Times New Roman"/>
                <w:spacing w:val="-1"/>
                <w:sz w:val="21"/>
                <w:szCs w:val="21"/>
              </w:rPr>
              <w:t>；（</w:t>
            </w:r>
            <w:r>
              <w:rPr>
                <w:rFonts w:hint="default" w:ascii="Times New Roman" w:hAnsi="Times New Roman" w:eastAsia="仿宋_GB2312" w:cs="Times New Roman"/>
                <w:spacing w:val="-4"/>
                <w:sz w:val="21"/>
                <w:szCs w:val="21"/>
              </w:rPr>
              <w:t>1分）</w:t>
            </w:r>
            <w:bookmarkStart w:id="0" w:name="_GoBack"/>
            <w:bookmarkEnd w:id="0"/>
          </w:p>
          <w:p w14:paraId="2829BBB0">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3.</w:t>
            </w:r>
            <w:r>
              <w:rPr>
                <w:rFonts w:hint="default" w:ascii="Times New Roman" w:hAnsi="Times New Roman" w:eastAsia="仿宋_GB2312" w:cs="Times New Roman"/>
                <w:spacing w:val="-23"/>
                <w:sz w:val="21"/>
                <w:szCs w:val="21"/>
              </w:rPr>
              <w:t>推进政府、平台、行业组织和社会各界的沟通协作，形成共治合力。（1分）</w:t>
            </w:r>
          </w:p>
        </w:tc>
        <w:tc>
          <w:tcPr>
            <w:tcW w:w="3900" w:type="dxa"/>
            <w:noWrap w:val="0"/>
            <w:vAlign w:val="center"/>
          </w:tcPr>
          <w:p w14:paraId="3723777E">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1AEABDCB">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15" w:type="dxa"/>
            <w:tcBorders>
              <w:right w:val="single" w:color="000000" w:sz="6" w:space="0"/>
            </w:tcBorders>
            <w:noWrap w:val="0"/>
            <w:vAlign w:val="center"/>
          </w:tcPr>
          <w:p w14:paraId="687E42C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711925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1" w:hRule="atLeast"/>
        </w:trPr>
        <w:tc>
          <w:tcPr>
            <w:tcW w:w="1025" w:type="dxa"/>
            <w:vMerge w:val="continue"/>
            <w:tcBorders>
              <w:top w:val="nil"/>
              <w:left w:val="single" w:color="000000" w:sz="6" w:space="0"/>
              <w:bottom w:val="nil"/>
            </w:tcBorders>
            <w:noWrap w:val="0"/>
            <w:vAlign w:val="center"/>
          </w:tcPr>
          <w:p w14:paraId="3FCB7287">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32FCB73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16</w:t>
            </w:r>
          </w:p>
        </w:tc>
        <w:tc>
          <w:tcPr>
            <w:tcW w:w="588" w:type="dxa"/>
            <w:noWrap w:val="0"/>
            <w:vAlign w:val="center"/>
          </w:tcPr>
          <w:p w14:paraId="3312383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025B1720">
            <w:pPr>
              <w:pStyle w:val="10"/>
              <w:keepNext w:val="0"/>
              <w:keepLines w:val="0"/>
              <w:pageBreakBefore w:val="0"/>
              <w:widowControl w:val="0"/>
              <w:kinsoku/>
              <w:wordWrap/>
              <w:overflowPunct/>
              <w:topLinePunct w:val="0"/>
              <w:autoSpaceDE/>
              <w:autoSpaceDN/>
              <w:bidi w:val="0"/>
              <w:adjustRightInd/>
              <w:snapToGrid/>
              <w:spacing w:line="300" w:lineRule="exact"/>
              <w:ind w:left="0" w:right="0" w:hanging="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5"/>
                <w:sz w:val="21"/>
                <w:szCs w:val="21"/>
              </w:rPr>
              <w:t>健全规范网络执法办</w:t>
            </w:r>
            <w:r>
              <w:rPr>
                <w:rFonts w:hint="default" w:ascii="Times New Roman" w:hAnsi="Times New Roman" w:eastAsia="仿宋_GB2312" w:cs="Times New Roman"/>
                <w:spacing w:val="-22"/>
                <w:sz w:val="21"/>
                <w:szCs w:val="21"/>
              </w:rPr>
              <w:t>案制度机制（3分）</w:t>
            </w:r>
          </w:p>
        </w:tc>
        <w:tc>
          <w:tcPr>
            <w:tcW w:w="5687" w:type="dxa"/>
            <w:noWrap w:val="0"/>
            <w:vAlign w:val="center"/>
          </w:tcPr>
          <w:p w14:paraId="4C298FF4">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制定规范网络执法办案流程、在线取证等方面的文件，或者建立</w:t>
            </w:r>
            <w:r>
              <w:rPr>
                <w:rFonts w:hint="default" w:ascii="Times New Roman" w:hAnsi="Times New Roman" w:eastAsia="仿宋_GB2312" w:cs="Times New Roman"/>
                <w:spacing w:val="-2"/>
                <w:sz w:val="21"/>
                <w:szCs w:val="21"/>
              </w:rPr>
              <w:t>规范网络执法办案的工作机制。（3分）</w:t>
            </w:r>
          </w:p>
        </w:tc>
        <w:tc>
          <w:tcPr>
            <w:tcW w:w="3900" w:type="dxa"/>
            <w:noWrap w:val="0"/>
            <w:vAlign w:val="center"/>
          </w:tcPr>
          <w:p w14:paraId="1BE1713A">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02398037">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15" w:type="dxa"/>
            <w:tcBorders>
              <w:right w:val="single" w:color="000000" w:sz="6" w:space="0"/>
            </w:tcBorders>
            <w:noWrap w:val="0"/>
            <w:vAlign w:val="center"/>
          </w:tcPr>
          <w:p w14:paraId="6AC4F45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6437BD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2" w:hRule="atLeast"/>
        </w:trPr>
        <w:tc>
          <w:tcPr>
            <w:tcW w:w="1025" w:type="dxa"/>
            <w:vMerge w:val="continue"/>
            <w:tcBorders>
              <w:top w:val="nil"/>
              <w:left w:val="single" w:color="000000" w:sz="6" w:space="0"/>
              <w:bottom w:val="nil"/>
            </w:tcBorders>
            <w:noWrap w:val="0"/>
            <w:vAlign w:val="center"/>
          </w:tcPr>
          <w:p w14:paraId="55901CAC">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71D6098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17</w:t>
            </w:r>
          </w:p>
        </w:tc>
        <w:tc>
          <w:tcPr>
            <w:tcW w:w="588" w:type="dxa"/>
            <w:noWrap w:val="0"/>
            <w:vAlign w:val="center"/>
          </w:tcPr>
          <w:p w14:paraId="74990C21">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定量</w:t>
            </w:r>
            <w:r>
              <w:rPr>
                <w:rFonts w:hint="default" w:ascii="Times New Roman" w:hAnsi="Times New Roman" w:eastAsia="仿宋_GB2312" w:cs="Times New Roman"/>
                <w:spacing w:val="-22"/>
                <w:w w:val="91"/>
                <w:sz w:val="21"/>
                <w:szCs w:val="21"/>
              </w:rPr>
              <w:t>+定性</w:t>
            </w:r>
          </w:p>
        </w:tc>
        <w:tc>
          <w:tcPr>
            <w:tcW w:w="1750" w:type="dxa"/>
            <w:noWrap w:val="0"/>
            <w:vAlign w:val="center"/>
          </w:tcPr>
          <w:p w14:paraId="5232B80C">
            <w:pPr>
              <w:pStyle w:val="10"/>
              <w:keepNext w:val="0"/>
              <w:keepLines w:val="0"/>
              <w:pageBreakBefore w:val="0"/>
              <w:widowControl w:val="0"/>
              <w:kinsoku/>
              <w:wordWrap/>
              <w:overflowPunct/>
              <w:topLinePunct w:val="0"/>
              <w:autoSpaceDE/>
              <w:autoSpaceDN/>
              <w:bidi w:val="0"/>
              <w:adjustRightInd/>
              <w:snapToGrid/>
              <w:spacing w:line="300" w:lineRule="exact"/>
              <w:ind w:left="0" w:right="0" w:hanging="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严厉查处涉网违法</w:t>
            </w:r>
            <w:r>
              <w:rPr>
                <w:rFonts w:hint="default" w:ascii="Times New Roman" w:hAnsi="Times New Roman" w:eastAsia="仿宋_GB2312" w:cs="Times New Roman"/>
                <w:spacing w:val="-3"/>
                <w:sz w:val="21"/>
                <w:szCs w:val="21"/>
              </w:rPr>
              <w:t>案件（3分）</w:t>
            </w:r>
          </w:p>
        </w:tc>
        <w:tc>
          <w:tcPr>
            <w:tcW w:w="5687" w:type="dxa"/>
            <w:noWrap w:val="0"/>
            <w:vAlign w:val="center"/>
          </w:tcPr>
          <w:p w14:paraId="53BEAC3B">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1.涉网违法案件线索举报按时核查率大于95%</w:t>
            </w:r>
            <w:r>
              <w:rPr>
                <w:rFonts w:hint="default" w:ascii="Times New Roman" w:hAnsi="Times New Roman" w:eastAsia="仿宋_GB2312" w:cs="Times New Roman"/>
                <w:spacing w:val="2"/>
                <w:sz w:val="21"/>
                <w:szCs w:val="21"/>
              </w:rPr>
              <w:t>；（</w:t>
            </w:r>
            <w:r>
              <w:rPr>
                <w:rFonts w:hint="default" w:ascii="Times New Roman" w:hAnsi="Times New Roman" w:eastAsia="仿宋_GB2312" w:cs="Times New Roman"/>
                <w:spacing w:val="-2"/>
                <w:sz w:val="21"/>
                <w:szCs w:val="21"/>
              </w:rPr>
              <w:t>1分）</w:t>
            </w:r>
          </w:p>
          <w:p w14:paraId="3B906572">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2.上级机关交办、督办的涉网违法案件线索处置及时率和完成率</w:t>
            </w:r>
            <w:r>
              <w:rPr>
                <w:rFonts w:hint="default" w:ascii="Times New Roman" w:hAnsi="Times New Roman" w:eastAsia="仿宋_GB2312" w:cs="Times New Roman"/>
                <w:spacing w:val="-4"/>
                <w:sz w:val="21"/>
                <w:szCs w:val="21"/>
              </w:rPr>
              <w:t>大于90%</w:t>
            </w:r>
            <w:r>
              <w:rPr>
                <w:rFonts w:hint="default" w:ascii="Times New Roman" w:hAnsi="Times New Roman" w:eastAsia="仿宋_GB2312" w:cs="Times New Roman"/>
                <w:spacing w:val="-5"/>
                <w:sz w:val="21"/>
                <w:szCs w:val="21"/>
              </w:rPr>
              <w:t>；（</w:t>
            </w:r>
            <w:r>
              <w:rPr>
                <w:rFonts w:hint="default" w:ascii="Times New Roman" w:hAnsi="Times New Roman" w:eastAsia="仿宋_GB2312" w:cs="Times New Roman"/>
                <w:spacing w:val="-4"/>
                <w:sz w:val="21"/>
                <w:szCs w:val="21"/>
              </w:rPr>
              <w:t>1分）</w:t>
            </w:r>
          </w:p>
          <w:p w14:paraId="3D6331A0">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3.涉网违法案件行政执法与刑事司法衔接机制有效运行。（1分）</w:t>
            </w:r>
          </w:p>
        </w:tc>
        <w:tc>
          <w:tcPr>
            <w:tcW w:w="3900" w:type="dxa"/>
            <w:noWrap w:val="0"/>
            <w:vAlign w:val="center"/>
          </w:tcPr>
          <w:p w14:paraId="5A4DE586">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方式：资料审查、数据比对。</w:t>
            </w:r>
          </w:p>
          <w:p w14:paraId="617EBE57">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来源：1.</w:t>
            </w:r>
            <w:r>
              <w:rPr>
                <w:rFonts w:hint="default" w:ascii="Times New Roman" w:hAnsi="Times New Roman" w:eastAsia="仿宋_GB2312" w:cs="Times New Roman"/>
                <w:spacing w:val="-8"/>
                <w:sz w:val="21"/>
                <w:szCs w:val="21"/>
                <w:lang w:eastAsia="zh-CN"/>
              </w:rPr>
              <w:t>省</w:t>
            </w:r>
            <w:r>
              <w:rPr>
                <w:rFonts w:hint="default" w:ascii="Times New Roman" w:hAnsi="Times New Roman" w:eastAsia="仿宋_GB2312" w:cs="Times New Roman"/>
                <w:spacing w:val="-8"/>
                <w:sz w:val="21"/>
                <w:szCs w:val="21"/>
              </w:rPr>
              <w:t>12315平台；</w:t>
            </w:r>
            <w:r>
              <w:rPr>
                <w:rFonts w:hint="default" w:ascii="Times New Roman" w:hAnsi="Times New Roman" w:eastAsia="仿宋_GB2312" w:cs="Times New Roman"/>
                <w:spacing w:val="-6"/>
                <w:sz w:val="21"/>
                <w:szCs w:val="21"/>
              </w:rPr>
              <w:t>2.</w:t>
            </w:r>
            <w:r>
              <w:rPr>
                <w:rFonts w:hint="default" w:ascii="Times New Roman" w:hAnsi="Times New Roman" w:eastAsia="仿宋_GB2312" w:cs="Times New Roman"/>
                <w:spacing w:val="-6"/>
                <w:sz w:val="21"/>
                <w:szCs w:val="21"/>
                <w:lang w:eastAsia="zh-CN"/>
              </w:rPr>
              <w:t>省</w:t>
            </w:r>
            <w:r>
              <w:rPr>
                <w:rFonts w:hint="default" w:ascii="Times New Roman" w:hAnsi="Times New Roman" w:eastAsia="仿宋_GB2312" w:cs="Times New Roman"/>
                <w:spacing w:val="-6"/>
                <w:sz w:val="21"/>
                <w:szCs w:val="21"/>
              </w:rPr>
              <w:t>网络交易监管平台；</w:t>
            </w:r>
            <w:r>
              <w:rPr>
                <w:rFonts w:hint="default" w:ascii="Times New Roman" w:hAnsi="Times New Roman" w:eastAsia="仿宋_GB2312" w:cs="Times New Roman"/>
                <w:spacing w:val="-7"/>
                <w:sz w:val="21"/>
                <w:szCs w:val="21"/>
              </w:rPr>
              <w:t>3.创建对象提供。</w:t>
            </w:r>
          </w:p>
        </w:tc>
        <w:tc>
          <w:tcPr>
            <w:tcW w:w="1915" w:type="dxa"/>
            <w:tcBorders>
              <w:right w:val="single" w:color="000000" w:sz="6" w:space="0"/>
            </w:tcBorders>
            <w:noWrap w:val="0"/>
            <w:vAlign w:val="center"/>
          </w:tcPr>
          <w:p w14:paraId="060E77C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765D724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32" w:hRule="atLeast"/>
        </w:trPr>
        <w:tc>
          <w:tcPr>
            <w:tcW w:w="1025" w:type="dxa"/>
            <w:vMerge w:val="continue"/>
            <w:tcBorders>
              <w:top w:val="nil"/>
              <w:left w:val="single" w:color="000000" w:sz="6" w:space="0"/>
              <w:bottom w:val="nil"/>
            </w:tcBorders>
            <w:noWrap w:val="0"/>
            <w:vAlign w:val="center"/>
          </w:tcPr>
          <w:p w14:paraId="0E9DB90E">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229D23C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18</w:t>
            </w:r>
          </w:p>
        </w:tc>
        <w:tc>
          <w:tcPr>
            <w:tcW w:w="588" w:type="dxa"/>
            <w:noWrap w:val="0"/>
            <w:vAlign w:val="center"/>
          </w:tcPr>
          <w:p w14:paraId="5DA7470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定量</w:t>
            </w:r>
            <w:r>
              <w:rPr>
                <w:rFonts w:hint="default" w:ascii="Times New Roman" w:hAnsi="Times New Roman" w:eastAsia="仿宋_GB2312" w:cs="Times New Roman"/>
                <w:spacing w:val="-22"/>
                <w:w w:val="91"/>
                <w:sz w:val="21"/>
                <w:szCs w:val="21"/>
              </w:rPr>
              <w:t>+定性</w:t>
            </w:r>
          </w:p>
        </w:tc>
        <w:tc>
          <w:tcPr>
            <w:tcW w:w="1750" w:type="dxa"/>
            <w:noWrap w:val="0"/>
            <w:vAlign w:val="center"/>
          </w:tcPr>
          <w:p w14:paraId="01B45056">
            <w:pPr>
              <w:pStyle w:val="10"/>
              <w:keepNext w:val="0"/>
              <w:keepLines w:val="0"/>
              <w:pageBreakBefore w:val="0"/>
              <w:widowControl w:val="0"/>
              <w:kinsoku/>
              <w:wordWrap/>
              <w:overflowPunct/>
              <w:topLinePunct w:val="0"/>
              <w:autoSpaceDE/>
              <w:autoSpaceDN/>
              <w:bidi w:val="0"/>
              <w:adjustRightInd/>
              <w:snapToGrid/>
              <w:spacing w:line="300" w:lineRule="exact"/>
              <w:ind w:left="0" w:right="0" w:hanging="1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依法依规依程序办理涉网违法案件（2分）</w:t>
            </w:r>
          </w:p>
        </w:tc>
        <w:tc>
          <w:tcPr>
            <w:tcW w:w="5687" w:type="dxa"/>
            <w:noWrap w:val="0"/>
            <w:vAlign w:val="center"/>
          </w:tcPr>
          <w:p w14:paraId="10A435FA">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1.涉网违法案件维持率、胜诉率超过95%</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2"/>
                <w:sz w:val="21"/>
                <w:szCs w:val="21"/>
              </w:rPr>
              <w:t>1分）</w:t>
            </w:r>
          </w:p>
          <w:p w14:paraId="7C7BB691">
            <w:pPr>
              <w:pStyle w:val="10"/>
              <w:keepNext w:val="0"/>
              <w:keepLines w:val="0"/>
              <w:pageBreakBefore w:val="0"/>
              <w:widowControl w:val="0"/>
              <w:kinsoku/>
              <w:wordWrap/>
              <w:overflowPunct/>
              <w:topLinePunct w:val="0"/>
              <w:autoSpaceDE/>
              <w:autoSpaceDN/>
              <w:bidi w:val="0"/>
              <w:adjustRightInd/>
              <w:snapToGrid/>
              <w:spacing w:line="300" w:lineRule="exact"/>
              <w:ind w:left="0" w:right="0" w:hanging="1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2.无程序性违法导致行政复议被撤销或确认违法、行政败诉的涉</w:t>
            </w:r>
            <w:r>
              <w:rPr>
                <w:rFonts w:hint="default" w:ascii="Times New Roman" w:hAnsi="Times New Roman" w:eastAsia="仿宋_GB2312" w:cs="Times New Roman"/>
                <w:spacing w:val="-5"/>
                <w:sz w:val="21"/>
                <w:szCs w:val="21"/>
              </w:rPr>
              <w:t>网案件。（1分）</w:t>
            </w:r>
          </w:p>
        </w:tc>
        <w:tc>
          <w:tcPr>
            <w:tcW w:w="3900" w:type="dxa"/>
            <w:noWrap w:val="0"/>
            <w:vAlign w:val="center"/>
          </w:tcPr>
          <w:p w14:paraId="4B6A6A65">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0F6D90F3">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15" w:type="dxa"/>
            <w:tcBorders>
              <w:right w:val="single" w:color="000000" w:sz="6" w:space="0"/>
            </w:tcBorders>
            <w:noWrap w:val="0"/>
            <w:vAlign w:val="center"/>
          </w:tcPr>
          <w:p w14:paraId="1C4C745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23C05E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22" w:hRule="atLeast"/>
        </w:trPr>
        <w:tc>
          <w:tcPr>
            <w:tcW w:w="1025" w:type="dxa"/>
            <w:vMerge w:val="continue"/>
            <w:tcBorders>
              <w:top w:val="nil"/>
              <w:left w:val="single" w:color="000000" w:sz="6" w:space="0"/>
              <w:bottom w:val="single" w:color="000000" w:sz="6" w:space="0"/>
            </w:tcBorders>
            <w:noWrap w:val="0"/>
            <w:vAlign w:val="center"/>
          </w:tcPr>
          <w:p w14:paraId="257BFAE7">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380128D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19</w:t>
            </w:r>
          </w:p>
        </w:tc>
        <w:tc>
          <w:tcPr>
            <w:tcW w:w="588" w:type="dxa"/>
            <w:tcBorders>
              <w:bottom w:val="single" w:color="000000" w:sz="6" w:space="0"/>
            </w:tcBorders>
            <w:noWrap w:val="0"/>
            <w:vAlign w:val="center"/>
          </w:tcPr>
          <w:p w14:paraId="50BC832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定量</w:t>
            </w:r>
          </w:p>
        </w:tc>
        <w:tc>
          <w:tcPr>
            <w:tcW w:w="1750" w:type="dxa"/>
            <w:tcBorders>
              <w:bottom w:val="single" w:color="000000" w:sz="6" w:space="0"/>
            </w:tcBorders>
            <w:noWrap w:val="0"/>
            <w:vAlign w:val="center"/>
          </w:tcPr>
          <w:p w14:paraId="04E11F9F">
            <w:pPr>
              <w:pStyle w:val="10"/>
              <w:keepNext w:val="0"/>
              <w:keepLines w:val="0"/>
              <w:pageBreakBefore w:val="0"/>
              <w:widowControl w:val="0"/>
              <w:kinsoku/>
              <w:wordWrap/>
              <w:overflowPunct/>
              <w:topLinePunct w:val="0"/>
              <w:autoSpaceDE/>
              <w:autoSpaceDN/>
              <w:bidi w:val="0"/>
              <w:adjustRightInd/>
              <w:snapToGrid/>
              <w:spacing w:line="300" w:lineRule="exact"/>
              <w:ind w:left="0" w:right="0" w:hanging="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7"/>
                <w:sz w:val="21"/>
                <w:szCs w:val="21"/>
              </w:rPr>
              <w:t>运用</w:t>
            </w:r>
            <w:r>
              <w:rPr>
                <w:rFonts w:hint="default" w:ascii="Times New Roman" w:hAnsi="Times New Roman" w:eastAsia="仿宋_GB2312" w:cs="Times New Roman"/>
                <w:spacing w:val="17"/>
                <w:sz w:val="21"/>
                <w:szCs w:val="21"/>
                <w:lang w:eastAsia="zh-CN"/>
              </w:rPr>
              <w:t>省</w:t>
            </w:r>
            <w:r>
              <w:rPr>
                <w:rFonts w:hint="default" w:ascii="Times New Roman" w:hAnsi="Times New Roman" w:eastAsia="仿宋_GB2312" w:cs="Times New Roman"/>
                <w:spacing w:val="17"/>
                <w:sz w:val="21"/>
                <w:szCs w:val="21"/>
              </w:rPr>
              <w:t>网络交易</w:t>
            </w:r>
            <w:r>
              <w:rPr>
                <w:rFonts w:hint="default" w:ascii="Times New Roman" w:hAnsi="Times New Roman" w:eastAsia="仿宋_GB2312" w:cs="Times New Roman"/>
                <w:spacing w:val="-16"/>
                <w:sz w:val="21"/>
                <w:szCs w:val="21"/>
              </w:rPr>
              <w:t>监管平台，提升涉网</w:t>
            </w:r>
            <w:r>
              <w:rPr>
                <w:rFonts w:hint="default" w:ascii="Times New Roman" w:hAnsi="Times New Roman" w:eastAsia="仿宋_GB2312" w:cs="Times New Roman"/>
                <w:spacing w:val="-6"/>
                <w:sz w:val="21"/>
                <w:szCs w:val="21"/>
              </w:rPr>
              <w:t>案件办理的精准性、</w:t>
            </w:r>
            <w:r>
              <w:rPr>
                <w:rFonts w:hint="default" w:ascii="Times New Roman" w:hAnsi="Times New Roman" w:eastAsia="仿宋_GB2312" w:cs="Times New Roman"/>
                <w:spacing w:val="-3"/>
                <w:sz w:val="21"/>
                <w:szCs w:val="21"/>
              </w:rPr>
              <w:t>有效性（2分）</w:t>
            </w:r>
          </w:p>
        </w:tc>
        <w:tc>
          <w:tcPr>
            <w:tcW w:w="5687" w:type="dxa"/>
            <w:tcBorders>
              <w:bottom w:val="single" w:color="000000" w:sz="6" w:space="0"/>
            </w:tcBorders>
            <w:noWrap w:val="0"/>
            <w:vAlign w:val="center"/>
          </w:tcPr>
          <w:p w14:paraId="17F0D88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1"/>
              <w:jc w:val="left"/>
              <w:textAlignment w:val="auto"/>
              <w:outlineLvl w:val="9"/>
              <w:rPr>
                <w:rFonts w:hint="default" w:ascii="Times New Roman" w:hAnsi="Times New Roman" w:eastAsia="仿宋_GB2312" w:cs="Times New Roman"/>
                <w:spacing w:val="-11"/>
                <w:sz w:val="21"/>
                <w:szCs w:val="21"/>
              </w:rPr>
            </w:pPr>
            <w:r>
              <w:rPr>
                <w:rFonts w:hint="default" w:ascii="Times New Roman" w:hAnsi="Times New Roman" w:eastAsia="仿宋_GB2312" w:cs="Times New Roman"/>
                <w:spacing w:val="-11"/>
                <w:sz w:val="21"/>
                <w:szCs w:val="21"/>
              </w:rPr>
              <w:t>1.</w:t>
            </w:r>
            <w:r>
              <w:rPr>
                <w:rFonts w:hint="default" w:ascii="Times New Roman" w:hAnsi="Times New Roman" w:eastAsia="仿宋_GB2312" w:cs="Times New Roman"/>
                <w:spacing w:val="-11"/>
                <w:sz w:val="21"/>
                <w:szCs w:val="21"/>
                <w:lang w:eastAsia="zh-CN"/>
              </w:rPr>
              <w:t>省</w:t>
            </w:r>
            <w:r>
              <w:rPr>
                <w:rFonts w:hint="default" w:ascii="Times New Roman" w:hAnsi="Times New Roman" w:eastAsia="仿宋_GB2312" w:cs="Times New Roman"/>
                <w:spacing w:val="-11"/>
                <w:sz w:val="21"/>
                <w:szCs w:val="21"/>
              </w:rPr>
              <w:t>网络交易监管平台分发的监测信息核查及时率大于90%；（1分）</w:t>
            </w:r>
          </w:p>
          <w:p w14:paraId="4D95A03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2.</w:t>
            </w:r>
            <w:r>
              <w:rPr>
                <w:rFonts w:hint="default" w:ascii="Times New Roman" w:hAnsi="Times New Roman" w:eastAsia="仿宋_GB2312" w:cs="Times New Roman"/>
                <w:spacing w:val="-11"/>
                <w:sz w:val="21"/>
                <w:szCs w:val="21"/>
                <w:lang w:eastAsia="zh-CN"/>
              </w:rPr>
              <w:t>省</w:t>
            </w:r>
            <w:r>
              <w:rPr>
                <w:rFonts w:hint="default" w:ascii="Times New Roman" w:hAnsi="Times New Roman" w:eastAsia="仿宋_GB2312" w:cs="Times New Roman"/>
                <w:spacing w:val="-11"/>
                <w:sz w:val="21"/>
                <w:szCs w:val="21"/>
              </w:rPr>
              <w:t>网络交易监管平台分发的监测信息核查完成率大于90%。（1分）</w:t>
            </w:r>
          </w:p>
        </w:tc>
        <w:tc>
          <w:tcPr>
            <w:tcW w:w="3900" w:type="dxa"/>
            <w:tcBorders>
              <w:bottom w:val="single" w:color="000000" w:sz="6" w:space="0"/>
            </w:tcBorders>
            <w:noWrap w:val="0"/>
            <w:vAlign w:val="center"/>
          </w:tcPr>
          <w:p w14:paraId="677A610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position w:val="4"/>
                <w:sz w:val="21"/>
                <w:szCs w:val="21"/>
              </w:rPr>
              <w:t>方式：数据比对。</w:t>
            </w:r>
          </w:p>
          <w:p w14:paraId="06DDC78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lang w:eastAsia="zh-CN"/>
              </w:rPr>
              <w:t>省</w:t>
            </w:r>
            <w:r>
              <w:rPr>
                <w:rFonts w:hint="default" w:ascii="Times New Roman" w:hAnsi="Times New Roman" w:eastAsia="仿宋_GB2312" w:cs="Times New Roman"/>
                <w:spacing w:val="-6"/>
                <w:sz w:val="21"/>
                <w:szCs w:val="21"/>
              </w:rPr>
              <w:t>网络交易监管平台。</w:t>
            </w:r>
          </w:p>
        </w:tc>
        <w:tc>
          <w:tcPr>
            <w:tcW w:w="1915" w:type="dxa"/>
            <w:tcBorders>
              <w:bottom w:val="single" w:color="000000" w:sz="6" w:space="0"/>
              <w:right w:val="single" w:color="000000" w:sz="6" w:space="0"/>
            </w:tcBorders>
            <w:noWrap w:val="0"/>
            <w:vAlign w:val="center"/>
          </w:tcPr>
          <w:p w14:paraId="6B620AE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bl>
    <w:p w14:paraId="2A0A821A">
      <w:pPr>
        <w:spacing w:before="18"/>
        <w:rPr>
          <w:rFonts w:ascii="Times New Roman" w:hAnsi="Times New Roman"/>
        </w:rPr>
      </w:pPr>
    </w:p>
    <w:tbl>
      <w:tblPr>
        <w:tblStyle w:val="9"/>
        <w:tblW w:w="0" w:type="auto"/>
        <w:tblInd w:w="-757"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25"/>
        <w:gridCol w:w="362"/>
        <w:gridCol w:w="588"/>
        <w:gridCol w:w="1750"/>
        <w:gridCol w:w="5687"/>
        <w:gridCol w:w="3888"/>
        <w:gridCol w:w="1927"/>
      </w:tblGrid>
      <w:tr w14:paraId="6C303F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25" w:type="dxa"/>
            <w:tcBorders>
              <w:top w:val="single" w:color="000000" w:sz="6" w:space="0"/>
              <w:left w:val="single" w:color="000000" w:sz="6" w:space="0"/>
            </w:tcBorders>
            <w:noWrap w:val="0"/>
            <w:vAlign w:val="center"/>
          </w:tcPr>
          <w:p w14:paraId="2C2B48AA">
            <w:pPr>
              <w:jc w:val="center"/>
              <w:rPr>
                <w:rFonts w:hint="eastAsia" w:ascii="Times New Roman" w:hAnsi="Times New Roman" w:eastAsia="黑体" w:cs="黑体"/>
              </w:rPr>
            </w:pPr>
            <w:r>
              <w:rPr>
                <w:rFonts w:hint="eastAsia" w:ascii="Times New Roman" w:hAnsi="Times New Roman" w:eastAsia="黑体" w:cs="黑体"/>
              </w:rPr>
              <w:t>一级指标</w:t>
            </w:r>
          </w:p>
        </w:tc>
        <w:tc>
          <w:tcPr>
            <w:tcW w:w="362" w:type="dxa"/>
            <w:tcBorders>
              <w:top w:val="single" w:color="000000" w:sz="6" w:space="0"/>
            </w:tcBorders>
            <w:noWrap w:val="0"/>
            <w:vAlign w:val="center"/>
          </w:tcPr>
          <w:p w14:paraId="508AA3F6">
            <w:pPr>
              <w:jc w:val="center"/>
              <w:rPr>
                <w:rFonts w:hint="eastAsia" w:ascii="Times New Roman" w:hAnsi="Times New Roman" w:eastAsia="黑体" w:cs="黑体"/>
              </w:rPr>
            </w:pPr>
            <w:r>
              <w:rPr>
                <w:rFonts w:hint="eastAsia" w:ascii="Times New Roman" w:hAnsi="Times New Roman" w:eastAsia="黑体" w:cs="黑体"/>
              </w:rPr>
              <w:t>编号</w:t>
            </w:r>
          </w:p>
        </w:tc>
        <w:tc>
          <w:tcPr>
            <w:tcW w:w="588" w:type="dxa"/>
            <w:tcBorders>
              <w:top w:val="single" w:color="000000" w:sz="6" w:space="0"/>
            </w:tcBorders>
            <w:noWrap w:val="0"/>
            <w:vAlign w:val="center"/>
          </w:tcPr>
          <w:p w14:paraId="18F23AD8">
            <w:pPr>
              <w:jc w:val="center"/>
              <w:rPr>
                <w:rFonts w:hint="eastAsia" w:ascii="Times New Roman" w:hAnsi="Times New Roman" w:eastAsia="黑体" w:cs="黑体"/>
              </w:rPr>
            </w:pPr>
            <w:r>
              <w:rPr>
                <w:rFonts w:hint="eastAsia" w:ascii="Times New Roman" w:hAnsi="Times New Roman" w:eastAsia="黑体" w:cs="黑体"/>
              </w:rPr>
              <w:t>变量性质</w:t>
            </w:r>
          </w:p>
        </w:tc>
        <w:tc>
          <w:tcPr>
            <w:tcW w:w="1750" w:type="dxa"/>
            <w:tcBorders>
              <w:top w:val="single" w:color="000000" w:sz="6" w:space="0"/>
            </w:tcBorders>
            <w:noWrap w:val="0"/>
            <w:vAlign w:val="center"/>
          </w:tcPr>
          <w:p w14:paraId="1E1E4A91">
            <w:pPr>
              <w:jc w:val="center"/>
              <w:rPr>
                <w:rFonts w:hint="eastAsia" w:ascii="Times New Roman" w:hAnsi="Times New Roman" w:eastAsia="黑体" w:cs="黑体"/>
              </w:rPr>
            </w:pPr>
            <w:r>
              <w:rPr>
                <w:rFonts w:hint="eastAsia" w:ascii="Times New Roman" w:hAnsi="Times New Roman" w:eastAsia="黑体" w:cs="黑体"/>
              </w:rPr>
              <w:t>三级指标</w:t>
            </w:r>
          </w:p>
        </w:tc>
        <w:tc>
          <w:tcPr>
            <w:tcW w:w="5687" w:type="dxa"/>
            <w:tcBorders>
              <w:top w:val="single" w:color="000000" w:sz="6" w:space="0"/>
            </w:tcBorders>
            <w:noWrap w:val="0"/>
            <w:vAlign w:val="center"/>
          </w:tcPr>
          <w:p w14:paraId="12CF8EF6">
            <w:pPr>
              <w:jc w:val="center"/>
              <w:rPr>
                <w:rFonts w:hint="eastAsia" w:ascii="Times New Roman" w:hAnsi="Times New Roman" w:eastAsia="黑体" w:cs="黑体"/>
              </w:rPr>
            </w:pPr>
            <w:r>
              <w:rPr>
                <w:rFonts w:hint="eastAsia" w:ascii="Times New Roman" w:hAnsi="Times New Roman" w:eastAsia="黑体" w:cs="黑体"/>
              </w:rPr>
              <w:t>指标说明及打分标准</w:t>
            </w:r>
          </w:p>
        </w:tc>
        <w:tc>
          <w:tcPr>
            <w:tcW w:w="3888" w:type="dxa"/>
            <w:tcBorders>
              <w:top w:val="single" w:color="000000" w:sz="6" w:space="0"/>
            </w:tcBorders>
            <w:noWrap w:val="0"/>
            <w:vAlign w:val="center"/>
          </w:tcPr>
          <w:p w14:paraId="7E7E8353">
            <w:pPr>
              <w:jc w:val="center"/>
              <w:rPr>
                <w:rFonts w:hint="eastAsia" w:ascii="Times New Roman" w:hAnsi="Times New Roman" w:eastAsia="黑体" w:cs="黑体"/>
              </w:rPr>
            </w:pPr>
            <w:r>
              <w:rPr>
                <w:rFonts w:hint="eastAsia" w:ascii="Times New Roman" w:hAnsi="Times New Roman" w:eastAsia="黑体" w:cs="黑体"/>
              </w:rPr>
              <w:t>评估方式及数据或资料来源</w:t>
            </w:r>
          </w:p>
        </w:tc>
        <w:tc>
          <w:tcPr>
            <w:tcW w:w="1927" w:type="dxa"/>
            <w:tcBorders>
              <w:top w:val="single" w:color="000000" w:sz="6" w:space="0"/>
              <w:right w:val="single" w:color="000000" w:sz="6" w:space="0"/>
            </w:tcBorders>
            <w:noWrap w:val="0"/>
            <w:vAlign w:val="center"/>
          </w:tcPr>
          <w:p w14:paraId="6C93F9E1">
            <w:pPr>
              <w:jc w:val="center"/>
              <w:rPr>
                <w:rFonts w:hint="eastAsia" w:ascii="Times New Roman" w:hAnsi="Times New Roman" w:eastAsia="黑体" w:cs="黑体"/>
              </w:rPr>
            </w:pPr>
            <w:r>
              <w:rPr>
                <w:rFonts w:hint="eastAsia" w:ascii="Times New Roman" w:hAnsi="Times New Roman" w:eastAsia="黑体" w:cs="黑体"/>
              </w:rPr>
              <w:t>责任单位或数据材料提供单位</w:t>
            </w:r>
          </w:p>
        </w:tc>
      </w:tr>
      <w:tr w14:paraId="25B624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011" w:hRule="atLeast"/>
        </w:trPr>
        <w:tc>
          <w:tcPr>
            <w:tcW w:w="1025" w:type="dxa"/>
            <w:vMerge w:val="restart"/>
            <w:tcBorders>
              <w:left w:val="single" w:color="000000" w:sz="6" w:space="0"/>
              <w:bottom w:val="nil"/>
            </w:tcBorders>
            <w:noWrap w:val="0"/>
            <w:vAlign w:val="center"/>
          </w:tcPr>
          <w:p w14:paraId="23C985C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优化</w:t>
            </w:r>
            <w:r>
              <w:rPr>
                <w:rFonts w:hint="default" w:ascii="Times New Roman" w:hAnsi="Times New Roman" w:eastAsia="仿宋_GB2312" w:cs="Times New Roman"/>
                <w:sz w:val="21"/>
                <w:szCs w:val="21"/>
              </w:rPr>
              <w:t>服务</w:t>
            </w:r>
            <w:r>
              <w:rPr>
                <w:rFonts w:hint="default" w:ascii="Times New Roman" w:hAnsi="Times New Roman" w:eastAsia="仿宋_GB2312" w:cs="Times New Roman"/>
                <w:spacing w:val="-4"/>
                <w:sz w:val="21"/>
                <w:szCs w:val="21"/>
              </w:rPr>
              <w:t>（20</w:t>
            </w:r>
            <w:r>
              <w:rPr>
                <w:rFonts w:hint="default" w:ascii="Times New Roman" w:hAnsi="Times New Roman" w:eastAsia="仿宋_GB2312" w:cs="Times New Roman"/>
                <w:spacing w:val="-1"/>
                <w:sz w:val="21"/>
                <w:szCs w:val="21"/>
              </w:rPr>
              <w:t>分）</w:t>
            </w:r>
          </w:p>
        </w:tc>
        <w:tc>
          <w:tcPr>
            <w:tcW w:w="362" w:type="dxa"/>
            <w:noWrap w:val="0"/>
            <w:vAlign w:val="center"/>
          </w:tcPr>
          <w:p w14:paraId="7B0F6F1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20</w:t>
            </w:r>
          </w:p>
        </w:tc>
        <w:tc>
          <w:tcPr>
            <w:tcW w:w="588" w:type="dxa"/>
            <w:noWrap w:val="0"/>
            <w:vAlign w:val="center"/>
          </w:tcPr>
          <w:p w14:paraId="3EF6000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53CF0797">
            <w:pPr>
              <w:pStyle w:val="10"/>
              <w:keepNext w:val="0"/>
              <w:keepLines w:val="0"/>
              <w:pageBreakBefore w:val="0"/>
              <w:widowControl w:val="0"/>
              <w:kinsoku/>
              <w:wordWrap/>
              <w:overflowPunct/>
              <w:topLinePunct w:val="0"/>
              <w:autoSpaceDE/>
              <w:autoSpaceDN/>
              <w:bidi w:val="0"/>
              <w:adjustRightInd/>
              <w:snapToGrid/>
              <w:spacing w:line="300" w:lineRule="exact"/>
              <w:ind w:left="0" w:right="0" w:hanging="1"/>
              <w:jc w:val="left"/>
              <w:textAlignment w:val="auto"/>
              <w:outlineLvl w:val="9"/>
              <w:rPr>
                <w:rFonts w:hint="default" w:ascii="Times New Roman" w:hAnsi="Times New Roman" w:eastAsia="仿宋_GB2312" w:cs="Times New Roman"/>
                <w:spacing w:val="17"/>
                <w:sz w:val="21"/>
                <w:szCs w:val="21"/>
              </w:rPr>
            </w:pPr>
            <w:r>
              <w:rPr>
                <w:rFonts w:hint="default" w:ascii="Times New Roman" w:hAnsi="Times New Roman" w:eastAsia="仿宋_GB2312" w:cs="Times New Roman"/>
                <w:spacing w:val="-7"/>
                <w:sz w:val="21"/>
                <w:szCs w:val="21"/>
              </w:rPr>
              <w:t>提供便民利企服务，</w:t>
            </w:r>
            <w:r>
              <w:rPr>
                <w:rFonts w:hint="default" w:ascii="Times New Roman" w:hAnsi="Times New Roman" w:eastAsia="仿宋_GB2312" w:cs="Times New Roman"/>
                <w:spacing w:val="17"/>
                <w:sz w:val="21"/>
                <w:szCs w:val="21"/>
              </w:rPr>
              <w:t>优化网络经济</w:t>
            </w:r>
          </w:p>
          <w:p w14:paraId="0BC53F14">
            <w:pPr>
              <w:pStyle w:val="10"/>
              <w:keepNext w:val="0"/>
              <w:keepLines w:val="0"/>
              <w:pageBreakBefore w:val="0"/>
              <w:widowControl w:val="0"/>
              <w:kinsoku/>
              <w:wordWrap/>
              <w:overflowPunct/>
              <w:topLinePunct w:val="0"/>
              <w:autoSpaceDE/>
              <w:autoSpaceDN/>
              <w:bidi w:val="0"/>
              <w:adjustRightInd/>
              <w:snapToGrid/>
              <w:spacing w:line="300" w:lineRule="exact"/>
              <w:ind w:left="0" w:right="0" w:hanging="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7"/>
                <w:sz w:val="21"/>
                <w:szCs w:val="21"/>
              </w:rPr>
              <w:t>发展</w:t>
            </w:r>
            <w:r>
              <w:rPr>
                <w:rFonts w:hint="default" w:ascii="Times New Roman" w:hAnsi="Times New Roman" w:eastAsia="仿宋_GB2312" w:cs="Times New Roman"/>
                <w:spacing w:val="-2"/>
                <w:sz w:val="21"/>
                <w:szCs w:val="21"/>
              </w:rPr>
              <w:t>环境（3分）</w:t>
            </w:r>
          </w:p>
        </w:tc>
        <w:tc>
          <w:tcPr>
            <w:tcW w:w="5687" w:type="dxa"/>
            <w:noWrap w:val="0"/>
            <w:vAlign w:val="center"/>
          </w:tcPr>
          <w:p w14:paraId="49AA82C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1.优化流程、简化环节，持续推进网络市场主</w:t>
            </w:r>
            <w:r>
              <w:rPr>
                <w:rFonts w:hint="default" w:ascii="Times New Roman" w:hAnsi="Times New Roman" w:eastAsia="仿宋_GB2312" w:cs="Times New Roman"/>
                <w:spacing w:val="-12"/>
                <w:sz w:val="21"/>
                <w:szCs w:val="21"/>
              </w:rPr>
              <w:t>体登记注册便利化、</w:t>
            </w:r>
            <w:r>
              <w:rPr>
                <w:rFonts w:hint="default" w:ascii="Times New Roman" w:hAnsi="Times New Roman" w:eastAsia="仿宋_GB2312" w:cs="Times New Roman"/>
                <w:spacing w:val="-4"/>
                <w:sz w:val="21"/>
                <w:szCs w:val="21"/>
              </w:rPr>
              <w:t>规范化；（1分）</w:t>
            </w:r>
          </w:p>
          <w:p w14:paraId="0517087C">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2.提供在线办理、一网通办、掌上办理、减税降费等便民利企举措；（1分）</w:t>
            </w:r>
          </w:p>
          <w:p w14:paraId="2561F549">
            <w:pPr>
              <w:pStyle w:val="10"/>
              <w:keepNext w:val="0"/>
              <w:keepLines w:val="0"/>
              <w:pageBreakBefore w:val="0"/>
              <w:widowControl w:val="0"/>
              <w:kinsoku/>
              <w:wordWrap/>
              <w:overflowPunct/>
              <w:topLinePunct w:val="0"/>
              <w:autoSpaceDE/>
              <w:autoSpaceDN/>
              <w:bidi w:val="0"/>
              <w:adjustRightInd/>
              <w:snapToGrid/>
              <w:spacing w:line="300" w:lineRule="exact"/>
              <w:ind w:left="0" w:right="0" w:hanging="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3.支持平台企业提高服务平台内经营者、从业人员的水平，</w:t>
            </w:r>
            <w:r>
              <w:rPr>
                <w:rFonts w:hint="default" w:ascii="Times New Roman" w:hAnsi="Times New Roman" w:eastAsia="仿宋_GB2312" w:cs="Times New Roman"/>
                <w:spacing w:val="-8"/>
                <w:sz w:val="21"/>
                <w:szCs w:val="21"/>
              </w:rPr>
              <w:t>加强网络交易经营者、从业人员权益保护，通过</w:t>
            </w:r>
            <w:r>
              <w:rPr>
                <w:rFonts w:hint="default" w:ascii="Times New Roman" w:hAnsi="Times New Roman" w:eastAsia="仿宋_GB2312" w:cs="Times New Roman"/>
                <w:spacing w:val="-8"/>
                <w:sz w:val="21"/>
                <w:szCs w:val="21"/>
                <w:lang w:eastAsia="zh-CN"/>
              </w:rPr>
              <w:t>省</w:t>
            </w:r>
            <w:r>
              <w:rPr>
                <w:rFonts w:hint="default" w:ascii="Times New Roman" w:hAnsi="Times New Roman" w:eastAsia="仿宋_GB2312" w:cs="Times New Roman"/>
                <w:spacing w:val="-8"/>
                <w:sz w:val="21"/>
                <w:szCs w:val="21"/>
              </w:rPr>
              <w:t>网络交易监管平</w:t>
            </w:r>
            <w:r>
              <w:rPr>
                <w:rFonts w:hint="default" w:ascii="Times New Roman" w:hAnsi="Times New Roman" w:eastAsia="仿宋_GB2312" w:cs="Times New Roman"/>
                <w:spacing w:val="-2"/>
                <w:sz w:val="21"/>
                <w:szCs w:val="21"/>
              </w:rPr>
              <w:t>台、电子营业执照系统等提供身份信息核验等服务。（1分）</w:t>
            </w:r>
          </w:p>
        </w:tc>
        <w:tc>
          <w:tcPr>
            <w:tcW w:w="3888" w:type="dxa"/>
            <w:noWrap w:val="0"/>
            <w:vAlign w:val="center"/>
          </w:tcPr>
          <w:p w14:paraId="4F9CA2D3">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6CA674D1">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409338B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2"/>
                <w:sz w:val="21"/>
                <w:szCs w:val="21"/>
                <w:lang w:eastAsia="zh-CN"/>
              </w:rPr>
            </w:pPr>
            <w:r>
              <w:rPr>
                <w:rFonts w:hint="default" w:ascii="Times New Roman" w:hAnsi="Times New Roman" w:eastAsia="仿宋_GB2312" w:cs="Times New Roman"/>
                <w:spacing w:val="-2"/>
                <w:sz w:val="21"/>
                <w:szCs w:val="21"/>
                <w:lang w:eastAsia="zh-CN"/>
              </w:rPr>
              <w:t>党政办公室</w:t>
            </w:r>
          </w:p>
          <w:p w14:paraId="76FDAE4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行政审批局</w:t>
            </w:r>
          </w:p>
          <w:p w14:paraId="6940200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2"/>
                <w:sz w:val="21"/>
                <w:szCs w:val="21"/>
              </w:rPr>
              <w:t>市场监管局</w:t>
            </w:r>
          </w:p>
        </w:tc>
      </w:tr>
      <w:tr w14:paraId="1E57CEE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0" w:hRule="atLeast"/>
        </w:trPr>
        <w:tc>
          <w:tcPr>
            <w:tcW w:w="1025" w:type="dxa"/>
            <w:vMerge w:val="continue"/>
            <w:tcBorders>
              <w:top w:val="nil"/>
              <w:left w:val="single" w:color="000000" w:sz="6" w:space="0"/>
              <w:bottom w:val="nil"/>
            </w:tcBorders>
            <w:noWrap w:val="0"/>
            <w:vAlign w:val="center"/>
          </w:tcPr>
          <w:p w14:paraId="4A5C1F9F">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4D7F466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21</w:t>
            </w:r>
          </w:p>
        </w:tc>
        <w:tc>
          <w:tcPr>
            <w:tcW w:w="588" w:type="dxa"/>
            <w:noWrap w:val="0"/>
            <w:vAlign w:val="center"/>
          </w:tcPr>
          <w:p w14:paraId="449AC45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4476C9A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9"/>
                <w:sz w:val="21"/>
                <w:szCs w:val="21"/>
              </w:rPr>
              <w:t>支持品牌建设、质量</w:t>
            </w:r>
            <w:r>
              <w:rPr>
                <w:rFonts w:hint="default" w:ascii="Times New Roman" w:hAnsi="Times New Roman" w:eastAsia="仿宋_GB2312" w:cs="Times New Roman"/>
                <w:spacing w:val="-13"/>
                <w:sz w:val="21"/>
                <w:szCs w:val="21"/>
              </w:rPr>
              <w:t>提升，促进高质量发</w:t>
            </w:r>
            <w:r>
              <w:rPr>
                <w:rFonts w:hint="default" w:ascii="Times New Roman" w:hAnsi="Times New Roman" w:eastAsia="仿宋_GB2312" w:cs="Times New Roman"/>
                <w:spacing w:val="-2"/>
                <w:sz w:val="21"/>
                <w:szCs w:val="21"/>
              </w:rPr>
              <w:t>展（2分）</w:t>
            </w:r>
          </w:p>
        </w:tc>
        <w:tc>
          <w:tcPr>
            <w:tcW w:w="5687" w:type="dxa"/>
            <w:noWrap w:val="0"/>
            <w:vAlign w:val="center"/>
          </w:tcPr>
          <w:p w14:paraId="6E4B76F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1.引导网络交易经营者加强品牌建设，推动网络交易经营者知识</w:t>
            </w:r>
            <w:r>
              <w:rPr>
                <w:rFonts w:hint="default" w:ascii="Times New Roman" w:hAnsi="Times New Roman" w:eastAsia="仿宋_GB2312" w:cs="Times New Roman"/>
                <w:spacing w:val="-1"/>
                <w:sz w:val="21"/>
                <w:szCs w:val="21"/>
              </w:rPr>
              <w:t>产权保护意识持续提升；（1分）</w:t>
            </w:r>
          </w:p>
          <w:p w14:paraId="2EFB3949">
            <w:pPr>
              <w:pStyle w:val="10"/>
              <w:keepNext w:val="0"/>
              <w:keepLines w:val="0"/>
              <w:pageBreakBefore w:val="0"/>
              <w:widowControl w:val="0"/>
              <w:kinsoku/>
              <w:wordWrap/>
              <w:overflowPunct/>
              <w:topLinePunct w:val="0"/>
              <w:autoSpaceDE/>
              <w:autoSpaceDN/>
              <w:bidi w:val="0"/>
              <w:adjustRightInd/>
              <w:snapToGrid/>
              <w:spacing w:line="300" w:lineRule="exact"/>
              <w:ind w:left="0" w:right="0" w:hanging="1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2.加强标准、计量、认证认可、检验检测等质量技术服务，</w:t>
            </w:r>
            <w:r>
              <w:rPr>
                <w:rFonts w:hint="default" w:ascii="Times New Roman" w:hAnsi="Times New Roman" w:eastAsia="仿宋_GB2312" w:cs="Times New Roman"/>
                <w:spacing w:val="-8"/>
                <w:sz w:val="21"/>
                <w:szCs w:val="21"/>
              </w:rPr>
              <w:t>推动</w:t>
            </w:r>
            <w:r>
              <w:rPr>
                <w:rFonts w:hint="default" w:ascii="Times New Roman" w:hAnsi="Times New Roman" w:eastAsia="仿宋_GB2312" w:cs="Times New Roman"/>
                <w:spacing w:val="-3"/>
                <w:sz w:val="21"/>
                <w:szCs w:val="21"/>
              </w:rPr>
              <w:t>网络市场质量提升。（1分）</w:t>
            </w:r>
          </w:p>
        </w:tc>
        <w:tc>
          <w:tcPr>
            <w:tcW w:w="3888" w:type="dxa"/>
            <w:noWrap w:val="0"/>
            <w:vAlign w:val="center"/>
          </w:tcPr>
          <w:p w14:paraId="211D2A87">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2B823AD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126A214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308B08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25" w:type="dxa"/>
            <w:vMerge w:val="continue"/>
            <w:tcBorders>
              <w:top w:val="nil"/>
              <w:left w:val="single" w:color="000000" w:sz="6" w:space="0"/>
              <w:bottom w:val="nil"/>
            </w:tcBorders>
            <w:noWrap w:val="0"/>
            <w:vAlign w:val="center"/>
          </w:tcPr>
          <w:p w14:paraId="3D97C904">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5177D4F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22</w:t>
            </w:r>
          </w:p>
        </w:tc>
        <w:tc>
          <w:tcPr>
            <w:tcW w:w="588" w:type="dxa"/>
            <w:noWrap w:val="0"/>
            <w:vAlign w:val="center"/>
          </w:tcPr>
          <w:p w14:paraId="52F59C6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1F68E11C">
            <w:pPr>
              <w:pStyle w:val="10"/>
              <w:keepNext w:val="0"/>
              <w:keepLines w:val="0"/>
              <w:pageBreakBefore w:val="0"/>
              <w:widowControl w:val="0"/>
              <w:kinsoku/>
              <w:wordWrap/>
              <w:overflowPunct/>
              <w:topLinePunct w:val="0"/>
              <w:autoSpaceDE/>
              <w:autoSpaceDN/>
              <w:bidi w:val="0"/>
              <w:adjustRightInd/>
              <w:snapToGrid/>
              <w:spacing w:line="300" w:lineRule="exact"/>
              <w:ind w:left="0" w:right="0" w:hanging="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4"/>
                <w:sz w:val="21"/>
                <w:szCs w:val="21"/>
              </w:rPr>
              <w:t>提升公共服务水平，</w:t>
            </w:r>
            <w:r>
              <w:rPr>
                <w:rFonts w:hint="default" w:ascii="Times New Roman" w:hAnsi="Times New Roman" w:eastAsia="仿宋_GB2312" w:cs="Times New Roman"/>
                <w:spacing w:val="8"/>
                <w:sz w:val="21"/>
                <w:szCs w:val="21"/>
              </w:rPr>
              <w:t>激发网络经营者创</w:t>
            </w:r>
            <w:r>
              <w:rPr>
                <w:rFonts w:hint="default" w:ascii="Times New Roman" w:hAnsi="Times New Roman" w:eastAsia="仿宋_GB2312" w:cs="Times New Roman"/>
                <w:spacing w:val="-23"/>
                <w:sz w:val="21"/>
                <w:szCs w:val="21"/>
              </w:rPr>
              <w:t>业创新活力（3分）</w:t>
            </w:r>
          </w:p>
        </w:tc>
        <w:tc>
          <w:tcPr>
            <w:tcW w:w="5687" w:type="dxa"/>
            <w:noWrap w:val="0"/>
            <w:vAlign w:val="center"/>
          </w:tcPr>
          <w:p w14:paraId="6007808C">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1.提供一体化、一站式政务服务</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7"/>
                <w:sz w:val="21"/>
                <w:szCs w:val="21"/>
              </w:rPr>
              <w:t>1分）</w:t>
            </w:r>
          </w:p>
          <w:p w14:paraId="3D8FBA9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2.</w:t>
            </w:r>
            <w:r>
              <w:rPr>
                <w:rFonts w:hint="default" w:ascii="Times New Roman" w:hAnsi="Times New Roman" w:eastAsia="仿宋_GB2312" w:cs="Times New Roman"/>
                <w:spacing w:val="-17"/>
                <w:sz w:val="21"/>
                <w:szCs w:val="21"/>
              </w:rPr>
              <w:t>建立帮扶机制，开展交流、培训，加强网络市场人才培养等；（1分）</w:t>
            </w:r>
          </w:p>
          <w:p w14:paraId="42E187C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3.运用市场机制，引入平台企业、社会资本等参与公共服务资源</w:t>
            </w:r>
            <w:r>
              <w:rPr>
                <w:rFonts w:hint="default" w:ascii="Times New Roman" w:hAnsi="Times New Roman" w:eastAsia="仿宋_GB2312" w:cs="Times New Roman"/>
                <w:spacing w:val="-1"/>
                <w:sz w:val="21"/>
                <w:szCs w:val="21"/>
              </w:rPr>
              <w:t>数字化，丰富公平普惠、全时全域的公共服务。（1分）</w:t>
            </w:r>
          </w:p>
        </w:tc>
        <w:tc>
          <w:tcPr>
            <w:tcW w:w="3888" w:type="dxa"/>
            <w:noWrap w:val="0"/>
            <w:vAlign w:val="center"/>
          </w:tcPr>
          <w:p w14:paraId="4A48C343">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626E4558">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2E085AB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2"/>
                <w:sz w:val="21"/>
                <w:szCs w:val="21"/>
                <w:lang w:eastAsia="zh-CN"/>
              </w:rPr>
            </w:pPr>
            <w:r>
              <w:rPr>
                <w:rFonts w:hint="default" w:ascii="Times New Roman" w:hAnsi="Times New Roman" w:eastAsia="仿宋_GB2312" w:cs="Times New Roman"/>
                <w:spacing w:val="-2"/>
                <w:sz w:val="21"/>
                <w:szCs w:val="21"/>
              </w:rPr>
              <w:t>商务</w:t>
            </w:r>
            <w:r>
              <w:rPr>
                <w:rFonts w:hint="default" w:ascii="Times New Roman" w:hAnsi="Times New Roman" w:eastAsia="仿宋_GB2312" w:cs="Times New Roman"/>
                <w:spacing w:val="-2"/>
                <w:sz w:val="21"/>
                <w:szCs w:val="21"/>
                <w:lang w:eastAsia="zh-CN"/>
              </w:rPr>
              <w:t>局</w:t>
            </w:r>
          </w:p>
          <w:p w14:paraId="205DC6E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行政审批局</w:t>
            </w:r>
          </w:p>
          <w:p w14:paraId="06B623F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市场监管局</w:t>
            </w:r>
          </w:p>
        </w:tc>
      </w:tr>
      <w:tr w14:paraId="26F4AB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25" w:type="dxa"/>
            <w:vMerge w:val="continue"/>
            <w:tcBorders>
              <w:top w:val="nil"/>
              <w:left w:val="single" w:color="000000" w:sz="6" w:space="0"/>
              <w:bottom w:val="nil"/>
            </w:tcBorders>
            <w:noWrap w:val="0"/>
            <w:vAlign w:val="center"/>
          </w:tcPr>
          <w:p w14:paraId="1BE17E81">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3E57FC93">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23</w:t>
            </w:r>
          </w:p>
        </w:tc>
        <w:tc>
          <w:tcPr>
            <w:tcW w:w="588" w:type="dxa"/>
            <w:noWrap w:val="0"/>
            <w:vAlign w:val="center"/>
          </w:tcPr>
          <w:p w14:paraId="63C30C3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73E0A05A">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0"/>
                <w:sz w:val="21"/>
                <w:szCs w:val="21"/>
              </w:rPr>
              <w:t>强化信息基础设施</w:t>
            </w:r>
            <w:r>
              <w:rPr>
                <w:rFonts w:hint="default" w:ascii="Times New Roman" w:hAnsi="Times New Roman" w:eastAsia="仿宋_GB2312" w:cs="Times New Roman"/>
                <w:spacing w:val="-13"/>
                <w:sz w:val="21"/>
                <w:szCs w:val="21"/>
              </w:rPr>
              <w:t>建设，提升网络交易</w:t>
            </w:r>
            <w:r>
              <w:rPr>
                <w:rFonts w:hint="default" w:ascii="Times New Roman" w:hAnsi="Times New Roman" w:eastAsia="仿宋_GB2312" w:cs="Times New Roman"/>
                <w:spacing w:val="17"/>
                <w:sz w:val="21"/>
                <w:szCs w:val="21"/>
              </w:rPr>
              <w:t>经营者数字化竞争</w:t>
            </w:r>
            <w:r>
              <w:rPr>
                <w:rFonts w:hint="default" w:ascii="Times New Roman" w:hAnsi="Times New Roman" w:eastAsia="仿宋_GB2312" w:cs="Times New Roman"/>
                <w:spacing w:val="-2"/>
                <w:sz w:val="21"/>
                <w:szCs w:val="21"/>
              </w:rPr>
              <w:t>力（3分）</w:t>
            </w:r>
          </w:p>
        </w:tc>
        <w:tc>
          <w:tcPr>
            <w:tcW w:w="5687" w:type="dxa"/>
            <w:noWrap w:val="0"/>
            <w:vAlign w:val="center"/>
          </w:tcPr>
          <w:p w14:paraId="7E01FB7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1.强化网络基础设施和新型基础设施建设，服务平台经济、数字</w:t>
            </w:r>
            <w:r>
              <w:rPr>
                <w:rFonts w:hint="default" w:ascii="Times New Roman" w:hAnsi="Times New Roman" w:eastAsia="仿宋_GB2312" w:cs="Times New Roman"/>
                <w:spacing w:val="-3"/>
                <w:sz w:val="21"/>
                <w:szCs w:val="21"/>
              </w:rPr>
              <w:t>经济发展</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3"/>
                <w:sz w:val="21"/>
                <w:szCs w:val="21"/>
              </w:rPr>
              <w:t>1分）</w:t>
            </w:r>
          </w:p>
          <w:p w14:paraId="61C6F6A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2.加强政务数据开放共享，在数据贡献、资源整合、风险防控、</w:t>
            </w:r>
            <w:r>
              <w:rPr>
                <w:rFonts w:hint="default" w:ascii="Times New Roman" w:hAnsi="Times New Roman" w:eastAsia="仿宋_GB2312" w:cs="Times New Roman"/>
                <w:spacing w:val="-1"/>
                <w:sz w:val="21"/>
                <w:szCs w:val="21"/>
              </w:rPr>
              <w:t>政策指导等方面开展政企合作；（1分）</w:t>
            </w:r>
          </w:p>
          <w:p w14:paraId="33DF444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3.引导平台企业、科技型企业利用数字技术赋能中小企</w:t>
            </w:r>
            <w:r>
              <w:rPr>
                <w:rFonts w:hint="default" w:ascii="Times New Roman" w:hAnsi="Times New Roman" w:eastAsia="仿宋_GB2312" w:cs="Times New Roman"/>
                <w:spacing w:val="-3"/>
                <w:sz w:val="21"/>
                <w:szCs w:val="21"/>
              </w:rPr>
              <w:t>业、实体经济。（1分）</w:t>
            </w:r>
          </w:p>
        </w:tc>
        <w:tc>
          <w:tcPr>
            <w:tcW w:w="3888" w:type="dxa"/>
            <w:noWrap w:val="0"/>
            <w:vAlign w:val="center"/>
          </w:tcPr>
          <w:p w14:paraId="5274E8FE">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5B959D1D">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5CC0970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党政办公室</w:t>
            </w:r>
          </w:p>
        </w:tc>
      </w:tr>
      <w:tr w14:paraId="3884150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66" w:hRule="atLeast"/>
        </w:trPr>
        <w:tc>
          <w:tcPr>
            <w:tcW w:w="1025" w:type="dxa"/>
            <w:vMerge w:val="continue"/>
            <w:tcBorders>
              <w:top w:val="nil"/>
              <w:left w:val="single" w:color="000000" w:sz="6" w:space="0"/>
              <w:bottom w:val="single" w:color="000000" w:sz="6" w:space="0"/>
            </w:tcBorders>
            <w:noWrap w:val="0"/>
            <w:vAlign w:val="center"/>
          </w:tcPr>
          <w:p w14:paraId="2D2C6A86">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6E11338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24</w:t>
            </w:r>
          </w:p>
        </w:tc>
        <w:tc>
          <w:tcPr>
            <w:tcW w:w="588" w:type="dxa"/>
            <w:tcBorders>
              <w:bottom w:val="single" w:color="000000" w:sz="6" w:space="0"/>
            </w:tcBorders>
            <w:noWrap w:val="0"/>
            <w:vAlign w:val="center"/>
          </w:tcPr>
          <w:p w14:paraId="52AB83A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tcBorders>
              <w:bottom w:val="single" w:color="000000" w:sz="6" w:space="0"/>
            </w:tcBorders>
            <w:noWrap w:val="0"/>
            <w:vAlign w:val="center"/>
          </w:tcPr>
          <w:p w14:paraId="4F1A0DB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积极开展网络消费教育和消费警示，提高消费者维权能力和意识</w:t>
            </w:r>
            <w:r>
              <w:rPr>
                <w:rFonts w:hint="default" w:ascii="Times New Roman" w:hAnsi="Times New Roman" w:eastAsia="仿宋_GB2312" w:cs="Times New Roman"/>
                <w:spacing w:val="-2"/>
                <w:sz w:val="21"/>
                <w:szCs w:val="21"/>
              </w:rPr>
              <w:t>（2分）</w:t>
            </w:r>
          </w:p>
        </w:tc>
        <w:tc>
          <w:tcPr>
            <w:tcW w:w="5687" w:type="dxa"/>
            <w:tcBorders>
              <w:bottom w:val="single" w:color="000000" w:sz="6" w:space="0"/>
            </w:tcBorders>
            <w:noWrap w:val="0"/>
            <w:vAlign w:val="center"/>
          </w:tcPr>
          <w:p w14:paraId="5C85321C">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1.多形式多媒介开展网络消费教育、引导</w:t>
            </w:r>
            <w:r>
              <w:rPr>
                <w:rFonts w:hint="default" w:ascii="Times New Roman" w:hAnsi="Times New Roman" w:eastAsia="仿宋_GB2312" w:cs="Times New Roman"/>
                <w:spacing w:val="5"/>
                <w:sz w:val="21"/>
                <w:szCs w:val="21"/>
              </w:rPr>
              <w:t>；（</w:t>
            </w:r>
            <w:r>
              <w:rPr>
                <w:rFonts w:hint="default" w:ascii="Times New Roman" w:hAnsi="Times New Roman" w:eastAsia="仿宋_GB2312" w:cs="Times New Roman"/>
                <w:spacing w:val="-2"/>
                <w:sz w:val="21"/>
                <w:szCs w:val="21"/>
              </w:rPr>
              <w:t>1分）</w:t>
            </w:r>
          </w:p>
          <w:p w14:paraId="30BBFB8E">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2.多形式多媒介开展网络消费提示、警示。</w:t>
            </w:r>
            <w:r>
              <w:rPr>
                <w:rFonts w:hint="default" w:ascii="Times New Roman" w:hAnsi="Times New Roman" w:eastAsia="仿宋_GB2312" w:cs="Times New Roman"/>
                <w:spacing w:val="-2"/>
                <w:sz w:val="21"/>
                <w:szCs w:val="21"/>
              </w:rPr>
              <w:t>（1分）</w:t>
            </w:r>
          </w:p>
        </w:tc>
        <w:tc>
          <w:tcPr>
            <w:tcW w:w="3888" w:type="dxa"/>
            <w:tcBorders>
              <w:bottom w:val="single" w:color="000000" w:sz="6" w:space="0"/>
            </w:tcBorders>
            <w:noWrap w:val="0"/>
            <w:vAlign w:val="center"/>
          </w:tcPr>
          <w:p w14:paraId="57249844">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42D4B44B">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来源：</w:t>
            </w:r>
            <w:r>
              <w:rPr>
                <w:rFonts w:hint="default" w:ascii="Times New Roman" w:hAnsi="Times New Roman" w:eastAsia="仿宋_GB2312" w:cs="Times New Roman"/>
                <w:spacing w:val="-6"/>
                <w:sz w:val="21"/>
                <w:szCs w:val="21"/>
              </w:rPr>
              <w:t>创建对象提供。</w:t>
            </w:r>
          </w:p>
        </w:tc>
        <w:tc>
          <w:tcPr>
            <w:tcW w:w="1927" w:type="dxa"/>
            <w:tcBorders>
              <w:bottom w:val="single" w:color="000000" w:sz="6" w:space="0"/>
              <w:right w:val="single" w:color="000000" w:sz="6" w:space="0"/>
            </w:tcBorders>
            <w:noWrap w:val="0"/>
            <w:vAlign w:val="center"/>
          </w:tcPr>
          <w:p w14:paraId="19E052D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17621C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25" w:type="dxa"/>
            <w:tcBorders>
              <w:top w:val="single" w:color="000000" w:sz="6" w:space="0"/>
              <w:left w:val="single" w:color="000000" w:sz="6" w:space="0"/>
            </w:tcBorders>
            <w:noWrap w:val="0"/>
            <w:vAlign w:val="center"/>
          </w:tcPr>
          <w:p w14:paraId="480BA85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一级指标</w:t>
            </w:r>
          </w:p>
        </w:tc>
        <w:tc>
          <w:tcPr>
            <w:tcW w:w="362" w:type="dxa"/>
            <w:tcBorders>
              <w:top w:val="single" w:color="000000" w:sz="6" w:space="0"/>
            </w:tcBorders>
            <w:noWrap w:val="0"/>
            <w:textDirection w:val="tbRlV"/>
            <w:vAlign w:val="center"/>
          </w:tcPr>
          <w:p w14:paraId="342846E6">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编号</w:t>
            </w:r>
          </w:p>
        </w:tc>
        <w:tc>
          <w:tcPr>
            <w:tcW w:w="588" w:type="dxa"/>
            <w:tcBorders>
              <w:top w:val="single" w:color="000000" w:sz="6" w:space="0"/>
            </w:tcBorders>
            <w:noWrap w:val="0"/>
            <w:vAlign w:val="center"/>
          </w:tcPr>
          <w:p w14:paraId="2A5C20A5">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变量性质</w:t>
            </w:r>
          </w:p>
        </w:tc>
        <w:tc>
          <w:tcPr>
            <w:tcW w:w="1750" w:type="dxa"/>
            <w:tcBorders>
              <w:top w:val="single" w:color="000000" w:sz="6" w:space="0"/>
            </w:tcBorders>
            <w:noWrap w:val="0"/>
            <w:vAlign w:val="center"/>
          </w:tcPr>
          <w:p w14:paraId="6042D7C8">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三级指标</w:t>
            </w:r>
          </w:p>
        </w:tc>
        <w:tc>
          <w:tcPr>
            <w:tcW w:w="5687" w:type="dxa"/>
            <w:tcBorders>
              <w:top w:val="single" w:color="000000" w:sz="6" w:space="0"/>
            </w:tcBorders>
            <w:noWrap w:val="0"/>
            <w:vAlign w:val="center"/>
          </w:tcPr>
          <w:p w14:paraId="49A7EAD0">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指标说明及打分标准</w:t>
            </w:r>
          </w:p>
        </w:tc>
        <w:tc>
          <w:tcPr>
            <w:tcW w:w="3888" w:type="dxa"/>
            <w:tcBorders>
              <w:top w:val="single" w:color="000000" w:sz="6" w:space="0"/>
            </w:tcBorders>
            <w:noWrap w:val="0"/>
            <w:vAlign w:val="center"/>
          </w:tcPr>
          <w:p w14:paraId="4B80D02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评估方式及数据或资料来源</w:t>
            </w:r>
          </w:p>
        </w:tc>
        <w:tc>
          <w:tcPr>
            <w:tcW w:w="1927" w:type="dxa"/>
            <w:tcBorders>
              <w:top w:val="single" w:color="000000" w:sz="6" w:space="0"/>
              <w:right w:val="single" w:color="000000" w:sz="6" w:space="0"/>
            </w:tcBorders>
            <w:noWrap w:val="0"/>
            <w:vAlign w:val="center"/>
          </w:tcPr>
          <w:p w14:paraId="6637FCFF">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责任单位或数据材料提供单位</w:t>
            </w:r>
          </w:p>
        </w:tc>
      </w:tr>
      <w:tr w14:paraId="42ABEC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89" w:hRule="atLeast"/>
        </w:trPr>
        <w:tc>
          <w:tcPr>
            <w:tcW w:w="1025" w:type="dxa"/>
            <w:vMerge w:val="restart"/>
            <w:tcBorders>
              <w:left w:val="single" w:color="000000" w:sz="6" w:space="0"/>
              <w:bottom w:val="nil"/>
            </w:tcBorders>
            <w:noWrap w:val="0"/>
            <w:vAlign w:val="center"/>
          </w:tcPr>
          <w:p w14:paraId="5B401F1D">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8"/>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优化</w:t>
            </w:r>
            <w:r>
              <w:rPr>
                <w:rFonts w:hint="default" w:ascii="Times New Roman" w:hAnsi="Times New Roman" w:eastAsia="仿宋_GB2312" w:cs="Times New Roman"/>
                <w:sz w:val="21"/>
                <w:szCs w:val="21"/>
              </w:rPr>
              <w:t>服务</w:t>
            </w:r>
            <w:r>
              <w:rPr>
                <w:rFonts w:hint="default" w:ascii="Times New Roman" w:hAnsi="Times New Roman" w:eastAsia="仿宋_GB2312" w:cs="Times New Roman"/>
                <w:spacing w:val="-4"/>
                <w:sz w:val="21"/>
                <w:szCs w:val="21"/>
              </w:rPr>
              <w:t>（20</w:t>
            </w:r>
            <w:r>
              <w:rPr>
                <w:rFonts w:hint="default" w:ascii="Times New Roman" w:hAnsi="Times New Roman" w:eastAsia="仿宋_GB2312" w:cs="Times New Roman"/>
                <w:spacing w:val="-1"/>
                <w:sz w:val="21"/>
                <w:szCs w:val="21"/>
              </w:rPr>
              <w:t>分）</w:t>
            </w:r>
          </w:p>
        </w:tc>
        <w:tc>
          <w:tcPr>
            <w:tcW w:w="362" w:type="dxa"/>
            <w:noWrap w:val="0"/>
            <w:vAlign w:val="center"/>
          </w:tcPr>
          <w:p w14:paraId="159B8F22">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25</w:t>
            </w:r>
          </w:p>
        </w:tc>
        <w:tc>
          <w:tcPr>
            <w:tcW w:w="588" w:type="dxa"/>
            <w:noWrap w:val="0"/>
            <w:vAlign w:val="center"/>
          </w:tcPr>
          <w:p w14:paraId="66EF1ED6">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定量</w:t>
            </w:r>
            <w:r>
              <w:rPr>
                <w:rFonts w:hint="default" w:ascii="Times New Roman" w:hAnsi="Times New Roman" w:eastAsia="仿宋_GB2312" w:cs="Times New Roman"/>
                <w:spacing w:val="-22"/>
                <w:w w:val="91"/>
                <w:sz w:val="21"/>
                <w:szCs w:val="21"/>
              </w:rPr>
              <w:t>+定性</w:t>
            </w:r>
          </w:p>
        </w:tc>
        <w:tc>
          <w:tcPr>
            <w:tcW w:w="1750" w:type="dxa"/>
            <w:noWrap w:val="0"/>
            <w:vAlign w:val="center"/>
          </w:tcPr>
          <w:p w14:paraId="291E2B46">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11"/>
                <w:w w:val="100"/>
                <w:sz w:val="21"/>
                <w:szCs w:val="21"/>
              </w:rPr>
              <w:t>及时受理和依法处理网络消费投诉，提升消费者获得感（3分）</w:t>
            </w:r>
          </w:p>
        </w:tc>
        <w:tc>
          <w:tcPr>
            <w:tcW w:w="5687" w:type="dxa"/>
            <w:noWrap w:val="0"/>
            <w:vAlign w:val="center"/>
          </w:tcPr>
          <w:p w14:paraId="6A1690E2">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1.网络消费投诉按时初查率、按时办结率超过95%</w:t>
            </w:r>
            <w:r>
              <w:rPr>
                <w:rFonts w:hint="default" w:ascii="Times New Roman" w:hAnsi="Times New Roman" w:eastAsia="仿宋_GB2312" w:cs="Times New Roman"/>
                <w:spacing w:val="1"/>
                <w:sz w:val="21"/>
                <w:szCs w:val="21"/>
              </w:rPr>
              <w:t>；（</w:t>
            </w:r>
            <w:r>
              <w:rPr>
                <w:rFonts w:hint="default" w:ascii="Times New Roman" w:hAnsi="Times New Roman" w:eastAsia="仿宋_GB2312" w:cs="Times New Roman"/>
                <w:spacing w:val="-2"/>
                <w:sz w:val="21"/>
                <w:szCs w:val="21"/>
              </w:rPr>
              <w:t>1分）</w:t>
            </w:r>
          </w:p>
          <w:p w14:paraId="6482A855">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2.网络消费调解成功率大于</w:t>
            </w:r>
            <w:r>
              <w:rPr>
                <w:rFonts w:hint="default" w:ascii="Times New Roman" w:hAnsi="Times New Roman" w:eastAsia="仿宋_GB2312" w:cs="Times New Roman"/>
                <w:spacing w:val="-1"/>
                <w:sz w:val="21"/>
                <w:szCs w:val="21"/>
                <w:lang w:eastAsia="zh-CN"/>
              </w:rPr>
              <w:t>全省</w:t>
            </w:r>
            <w:r>
              <w:rPr>
                <w:rFonts w:hint="default" w:ascii="Times New Roman" w:hAnsi="Times New Roman" w:eastAsia="仿宋_GB2312" w:cs="Times New Roman"/>
                <w:spacing w:val="-1"/>
                <w:sz w:val="21"/>
                <w:szCs w:val="21"/>
              </w:rPr>
              <w:t>调解成功率</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1"/>
                <w:sz w:val="21"/>
                <w:szCs w:val="21"/>
              </w:rPr>
              <w:t>1分）</w:t>
            </w:r>
          </w:p>
          <w:p w14:paraId="6D450FBF">
            <w:pPr>
              <w:pStyle w:val="10"/>
              <w:keepNext w:val="0"/>
              <w:keepLines w:val="0"/>
              <w:pageBreakBefore w:val="0"/>
              <w:widowControl w:val="0"/>
              <w:kinsoku/>
              <w:wordWrap/>
              <w:overflowPunct/>
              <w:topLinePunct w:val="0"/>
              <w:autoSpaceDE/>
              <w:autoSpaceDN/>
              <w:bidi w:val="0"/>
              <w:adjustRightInd/>
              <w:snapToGrid/>
              <w:spacing w:line="28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3.消费者满意度高于</w:t>
            </w:r>
            <w:r>
              <w:rPr>
                <w:rFonts w:hint="default" w:ascii="Times New Roman" w:hAnsi="Times New Roman" w:eastAsia="仿宋_GB2312" w:cs="Times New Roman"/>
                <w:spacing w:val="-2"/>
                <w:sz w:val="21"/>
                <w:szCs w:val="21"/>
                <w:lang w:eastAsia="zh-CN"/>
              </w:rPr>
              <w:t>全省</w:t>
            </w:r>
            <w:r>
              <w:rPr>
                <w:rFonts w:hint="default" w:ascii="Times New Roman" w:hAnsi="Times New Roman" w:eastAsia="仿宋_GB2312" w:cs="Times New Roman"/>
                <w:spacing w:val="-2"/>
                <w:sz w:val="21"/>
                <w:szCs w:val="21"/>
              </w:rPr>
              <w:t>平均水平。（1分）</w:t>
            </w:r>
          </w:p>
        </w:tc>
        <w:tc>
          <w:tcPr>
            <w:tcW w:w="3888" w:type="dxa"/>
            <w:noWrap w:val="0"/>
            <w:vAlign w:val="center"/>
          </w:tcPr>
          <w:p w14:paraId="4FDF79AE">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15E3B998">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来源：1.</w:t>
            </w:r>
            <w:r>
              <w:rPr>
                <w:rFonts w:hint="default" w:ascii="Times New Roman" w:hAnsi="Times New Roman" w:eastAsia="仿宋_GB2312" w:cs="Times New Roman"/>
                <w:spacing w:val="-5"/>
                <w:sz w:val="21"/>
                <w:szCs w:val="21"/>
                <w:lang w:eastAsia="zh-CN"/>
              </w:rPr>
              <w:t>全国</w:t>
            </w:r>
            <w:r>
              <w:rPr>
                <w:rFonts w:hint="default" w:ascii="Times New Roman" w:hAnsi="Times New Roman" w:eastAsia="仿宋_GB2312" w:cs="Times New Roman"/>
                <w:spacing w:val="-5"/>
                <w:sz w:val="21"/>
                <w:szCs w:val="21"/>
              </w:rPr>
              <w:t>12315平台；2.创建对象提供。</w:t>
            </w:r>
          </w:p>
        </w:tc>
        <w:tc>
          <w:tcPr>
            <w:tcW w:w="1927" w:type="dxa"/>
            <w:tcBorders>
              <w:right w:val="single" w:color="000000" w:sz="6" w:space="0"/>
            </w:tcBorders>
            <w:noWrap w:val="0"/>
            <w:vAlign w:val="center"/>
          </w:tcPr>
          <w:p w14:paraId="2DABFFDA">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0D757F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0" w:hRule="atLeast"/>
        </w:trPr>
        <w:tc>
          <w:tcPr>
            <w:tcW w:w="1025" w:type="dxa"/>
            <w:vMerge w:val="continue"/>
            <w:tcBorders>
              <w:top w:val="nil"/>
              <w:left w:val="single" w:color="000000" w:sz="6" w:space="0"/>
              <w:bottom w:val="nil"/>
            </w:tcBorders>
            <w:noWrap w:val="0"/>
            <w:vAlign w:val="center"/>
          </w:tcPr>
          <w:p w14:paraId="586D8E23">
            <w:pPr>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079F379F">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26</w:t>
            </w:r>
          </w:p>
        </w:tc>
        <w:tc>
          <w:tcPr>
            <w:tcW w:w="588" w:type="dxa"/>
            <w:noWrap w:val="0"/>
            <w:vAlign w:val="center"/>
          </w:tcPr>
          <w:p w14:paraId="186115CF">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定性</w:t>
            </w:r>
            <w:r>
              <w:rPr>
                <w:rFonts w:hint="default" w:ascii="Times New Roman" w:hAnsi="Times New Roman" w:eastAsia="仿宋_GB2312" w:cs="Times New Roman"/>
                <w:spacing w:val="-24"/>
                <w:w w:val="92"/>
                <w:sz w:val="21"/>
                <w:szCs w:val="21"/>
              </w:rPr>
              <w:t>+定量</w:t>
            </w:r>
          </w:p>
        </w:tc>
        <w:tc>
          <w:tcPr>
            <w:tcW w:w="1750" w:type="dxa"/>
            <w:noWrap w:val="0"/>
            <w:vAlign w:val="center"/>
          </w:tcPr>
          <w:p w14:paraId="27151F49">
            <w:pPr>
              <w:pStyle w:val="10"/>
              <w:keepNext w:val="0"/>
              <w:keepLines w:val="0"/>
              <w:pageBreakBefore w:val="0"/>
              <w:widowControl w:val="0"/>
              <w:kinsoku/>
              <w:wordWrap/>
              <w:overflowPunct/>
              <w:topLinePunct w:val="0"/>
              <w:autoSpaceDE/>
              <w:autoSpaceDN/>
              <w:bidi w:val="0"/>
              <w:adjustRightInd/>
              <w:snapToGrid/>
              <w:spacing w:line="280" w:lineRule="exact"/>
              <w:ind w:left="0" w:right="0" w:hanging="10"/>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6"/>
                <w:w w:val="100"/>
                <w:sz w:val="21"/>
                <w:szCs w:val="21"/>
              </w:rPr>
              <w:t>健全消费纠纷多元化解机制，源头化解网络消费纠纷（2分）</w:t>
            </w:r>
          </w:p>
        </w:tc>
        <w:tc>
          <w:tcPr>
            <w:tcW w:w="5687" w:type="dxa"/>
            <w:noWrap w:val="0"/>
            <w:vAlign w:val="center"/>
          </w:tcPr>
          <w:p w14:paraId="57C0AE0C">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1.建立健全消费纠纷多元化解机制，充分利用在线消费纠纷解决机制（ODR），所在地ODR单位按时办结率和和解成功率超过全</w:t>
            </w:r>
            <w:r>
              <w:rPr>
                <w:rFonts w:hint="default" w:ascii="Times New Roman" w:hAnsi="Times New Roman" w:eastAsia="仿宋_GB2312" w:cs="Times New Roman"/>
                <w:spacing w:val="-2"/>
                <w:sz w:val="21"/>
                <w:szCs w:val="21"/>
                <w:lang w:eastAsia="zh-CN"/>
              </w:rPr>
              <w:t>省</w:t>
            </w:r>
            <w:r>
              <w:rPr>
                <w:rFonts w:hint="default" w:ascii="Times New Roman" w:hAnsi="Times New Roman" w:eastAsia="仿宋_GB2312" w:cs="Times New Roman"/>
                <w:spacing w:val="-2"/>
                <w:sz w:val="21"/>
                <w:szCs w:val="21"/>
              </w:rPr>
              <w:t>平均率；（1分）</w:t>
            </w:r>
          </w:p>
          <w:p w14:paraId="10B94D75">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2.</w:t>
            </w:r>
            <w:r>
              <w:rPr>
                <w:rFonts w:hint="default" w:ascii="Times New Roman" w:hAnsi="Times New Roman" w:eastAsia="仿宋_GB2312" w:cs="Times New Roman"/>
                <w:spacing w:val="-6"/>
                <w:sz w:val="21"/>
                <w:szCs w:val="21"/>
              </w:rPr>
              <w:t>引导平台企业加大消费者服务力度，源头化解消费纠纷。（1分）</w:t>
            </w:r>
          </w:p>
        </w:tc>
        <w:tc>
          <w:tcPr>
            <w:tcW w:w="3888" w:type="dxa"/>
            <w:noWrap w:val="0"/>
            <w:vAlign w:val="center"/>
          </w:tcPr>
          <w:p w14:paraId="401612B2">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36336732">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来源：1.</w:t>
            </w:r>
            <w:r>
              <w:rPr>
                <w:rFonts w:hint="default" w:ascii="Times New Roman" w:hAnsi="Times New Roman" w:eastAsia="仿宋_GB2312" w:cs="Times New Roman"/>
                <w:spacing w:val="-5"/>
                <w:sz w:val="21"/>
                <w:szCs w:val="21"/>
                <w:lang w:eastAsia="zh-CN"/>
              </w:rPr>
              <w:t>全国</w:t>
            </w:r>
            <w:r>
              <w:rPr>
                <w:rFonts w:hint="default" w:ascii="Times New Roman" w:hAnsi="Times New Roman" w:eastAsia="仿宋_GB2312" w:cs="Times New Roman"/>
                <w:spacing w:val="-5"/>
                <w:sz w:val="21"/>
                <w:szCs w:val="21"/>
              </w:rPr>
              <w:t>12315平台；2.创建对象提供。</w:t>
            </w:r>
          </w:p>
        </w:tc>
        <w:tc>
          <w:tcPr>
            <w:tcW w:w="1927" w:type="dxa"/>
            <w:tcBorders>
              <w:right w:val="single" w:color="000000" w:sz="6" w:space="0"/>
            </w:tcBorders>
            <w:noWrap w:val="0"/>
            <w:vAlign w:val="center"/>
          </w:tcPr>
          <w:p w14:paraId="67B1F028">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7349EF2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0" w:hRule="atLeast"/>
        </w:trPr>
        <w:tc>
          <w:tcPr>
            <w:tcW w:w="1025" w:type="dxa"/>
            <w:vMerge w:val="continue"/>
            <w:tcBorders>
              <w:top w:val="nil"/>
              <w:left w:val="single" w:color="000000" w:sz="6" w:space="0"/>
            </w:tcBorders>
            <w:noWrap w:val="0"/>
            <w:vAlign w:val="center"/>
          </w:tcPr>
          <w:p w14:paraId="3245511A">
            <w:pPr>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01161CEE">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pacing w:val="-4"/>
                <w:sz w:val="21"/>
                <w:szCs w:val="21"/>
                <w:lang w:val="en-US" w:eastAsia="zh-CN"/>
              </w:rPr>
            </w:pPr>
            <w:r>
              <w:rPr>
                <w:rFonts w:hint="default" w:ascii="Times New Roman" w:hAnsi="Times New Roman" w:eastAsia="仿宋_GB2312" w:cs="Times New Roman"/>
                <w:spacing w:val="-4"/>
                <w:sz w:val="21"/>
                <w:szCs w:val="21"/>
                <w:lang w:val="en-US" w:eastAsia="zh-CN"/>
              </w:rPr>
              <w:t>27</w:t>
            </w:r>
          </w:p>
        </w:tc>
        <w:tc>
          <w:tcPr>
            <w:tcW w:w="588" w:type="dxa"/>
            <w:noWrap w:val="0"/>
            <w:vAlign w:val="center"/>
          </w:tcPr>
          <w:p w14:paraId="073491B0">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center"/>
              <w:textAlignment w:val="auto"/>
              <w:outlineLvl w:val="9"/>
              <w:rPr>
                <w:rFonts w:hint="default" w:ascii="Times New Roman" w:hAnsi="Times New Roman" w:eastAsia="仿宋_GB2312" w:cs="Times New Roman"/>
                <w:spacing w:val="0"/>
                <w:w w:val="100"/>
                <w:sz w:val="21"/>
                <w:szCs w:val="21"/>
                <w:lang w:eastAsia="zh-CN"/>
              </w:rPr>
            </w:pPr>
            <w:r>
              <w:rPr>
                <w:rFonts w:hint="default" w:ascii="Times New Roman" w:hAnsi="Times New Roman" w:eastAsia="仿宋_GB2312" w:cs="Times New Roman"/>
                <w:spacing w:val="0"/>
                <w:w w:val="100"/>
                <w:sz w:val="21"/>
                <w:szCs w:val="21"/>
                <w:lang w:eastAsia="zh-CN"/>
              </w:rPr>
              <w:t>定性</w:t>
            </w:r>
          </w:p>
        </w:tc>
        <w:tc>
          <w:tcPr>
            <w:tcW w:w="1750" w:type="dxa"/>
            <w:noWrap w:val="0"/>
            <w:vAlign w:val="center"/>
          </w:tcPr>
          <w:p w14:paraId="632323CE">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0"/>
                <w:w w:val="100"/>
                <w:sz w:val="21"/>
                <w:szCs w:val="21"/>
              </w:rPr>
              <w:t>积极开展电子商务领域放心消费创建（2分）</w:t>
            </w:r>
          </w:p>
        </w:tc>
        <w:tc>
          <w:tcPr>
            <w:tcW w:w="5687" w:type="dxa"/>
            <w:noWrap w:val="0"/>
            <w:vAlign w:val="center"/>
          </w:tcPr>
          <w:p w14:paraId="2BD0A450">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1.组织网络交易经营者开展放心消费创建，加强宣传和指导，积极培树山东省放心消费示范单位；（1分）</w:t>
            </w:r>
          </w:p>
          <w:p w14:paraId="036280C1">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2.网络交易经营者认真落实《放心消费示范单位创建指南第4部分：电子商务经营者》（DB37/T 3698.4-2020）相关要求，积极按照相关规定，开展放心消费示范创建。(1分)</w:t>
            </w:r>
          </w:p>
        </w:tc>
        <w:tc>
          <w:tcPr>
            <w:tcW w:w="3888" w:type="dxa"/>
            <w:noWrap w:val="0"/>
            <w:vAlign w:val="center"/>
          </w:tcPr>
          <w:p w14:paraId="47B47946">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方式：资料审查、抽取检查、专家评估。</w:t>
            </w:r>
          </w:p>
          <w:p w14:paraId="742B01E1">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来源：创建主体提供</w:t>
            </w:r>
          </w:p>
        </w:tc>
        <w:tc>
          <w:tcPr>
            <w:tcW w:w="1927" w:type="dxa"/>
            <w:tcBorders>
              <w:right w:val="single" w:color="000000" w:sz="6" w:space="0"/>
            </w:tcBorders>
            <w:noWrap w:val="0"/>
            <w:vAlign w:val="center"/>
          </w:tcPr>
          <w:p w14:paraId="5D50708C">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pacing w:val="-3"/>
                <w:sz w:val="21"/>
                <w:szCs w:val="21"/>
                <w:lang w:eastAsia="zh-CN"/>
              </w:rPr>
            </w:pPr>
            <w:r>
              <w:rPr>
                <w:rFonts w:hint="default" w:ascii="Times New Roman" w:hAnsi="Times New Roman" w:eastAsia="仿宋_GB2312" w:cs="Times New Roman"/>
                <w:spacing w:val="-3"/>
                <w:sz w:val="21"/>
                <w:szCs w:val="21"/>
                <w:lang w:eastAsia="zh-CN"/>
              </w:rPr>
              <w:t>市场监管局</w:t>
            </w:r>
          </w:p>
        </w:tc>
      </w:tr>
      <w:tr w14:paraId="7A9D7A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38" w:hRule="atLeast"/>
        </w:trPr>
        <w:tc>
          <w:tcPr>
            <w:tcW w:w="1025" w:type="dxa"/>
            <w:vMerge w:val="continue"/>
            <w:tcBorders>
              <w:top w:val="nil"/>
              <w:left w:val="single" w:color="000000" w:sz="6" w:space="0"/>
            </w:tcBorders>
            <w:noWrap w:val="0"/>
            <w:vAlign w:val="center"/>
          </w:tcPr>
          <w:p w14:paraId="753C23D9">
            <w:pPr>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03B553C2">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4"/>
                <w:sz w:val="21"/>
                <w:szCs w:val="21"/>
              </w:rPr>
              <w:t>2</w:t>
            </w:r>
            <w:r>
              <w:rPr>
                <w:rFonts w:hint="default" w:ascii="Times New Roman" w:hAnsi="Times New Roman" w:eastAsia="仿宋_GB2312" w:cs="Times New Roman"/>
                <w:spacing w:val="-4"/>
                <w:sz w:val="21"/>
                <w:szCs w:val="21"/>
                <w:lang w:val="en-US" w:eastAsia="zh-CN"/>
              </w:rPr>
              <w:t>8</w:t>
            </w:r>
          </w:p>
        </w:tc>
        <w:tc>
          <w:tcPr>
            <w:tcW w:w="588" w:type="dxa"/>
            <w:noWrap w:val="0"/>
            <w:vAlign w:val="center"/>
          </w:tcPr>
          <w:p w14:paraId="492A0844">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center"/>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0"/>
                <w:w w:val="100"/>
                <w:sz w:val="21"/>
                <w:szCs w:val="21"/>
              </w:rPr>
              <w:t>定性</w:t>
            </w:r>
          </w:p>
        </w:tc>
        <w:tc>
          <w:tcPr>
            <w:tcW w:w="1750" w:type="dxa"/>
            <w:noWrap w:val="0"/>
            <w:vAlign w:val="center"/>
          </w:tcPr>
          <w:p w14:paraId="3502B51B">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0"/>
                <w:w w:val="100"/>
                <w:sz w:val="21"/>
                <w:szCs w:val="21"/>
              </w:rPr>
              <w:t>鼓励和支持落实产品质量主体责任，源头提高和全程把控产品质量（2分）</w:t>
            </w:r>
          </w:p>
        </w:tc>
        <w:tc>
          <w:tcPr>
            <w:tcW w:w="5687" w:type="dxa"/>
            <w:noWrap w:val="0"/>
            <w:vAlign w:val="center"/>
          </w:tcPr>
          <w:p w14:paraId="788F8572">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w:t>
            </w:r>
            <w:r>
              <w:rPr>
                <w:rFonts w:hint="default" w:ascii="Times New Roman" w:hAnsi="Times New Roman" w:eastAsia="仿宋_GB2312" w:cs="Times New Roman"/>
                <w:spacing w:val="-6"/>
                <w:sz w:val="21"/>
                <w:szCs w:val="21"/>
              </w:rPr>
              <w:t>鼓励和支持网络交易经营者推行产品质量安全追溯制度；（1分）</w:t>
            </w:r>
          </w:p>
          <w:p w14:paraId="2C92CE90">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2.</w:t>
            </w:r>
            <w:r>
              <w:rPr>
                <w:rFonts w:hint="default" w:ascii="Times New Roman" w:hAnsi="Times New Roman" w:eastAsia="仿宋_GB2312" w:cs="Times New Roman"/>
                <w:spacing w:val="-6"/>
                <w:sz w:val="21"/>
                <w:szCs w:val="21"/>
              </w:rPr>
              <w:t>鼓励和支持网络交易经营者推行产品质量安全承诺制度。（1分）</w:t>
            </w:r>
          </w:p>
        </w:tc>
        <w:tc>
          <w:tcPr>
            <w:tcW w:w="3888" w:type="dxa"/>
            <w:noWrap w:val="0"/>
            <w:vAlign w:val="center"/>
          </w:tcPr>
          <w:p w14:paraId="5F1B1080">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3248134E">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来源：创建对象提供。</w:t>
            </w:r>
          </w:p>
        </w:tc>
        <w:tc>
          <w:tcPr>
            <w:tcW w:w="1927" w:type="dxa"/>
            <w:tcBorders>
              <w:right w:val="single" w:color="000000" w:sz="6" w:space="0"/>
            </w:tcBorders>
            <w:noWrap w:val="0"/>
            <w:vAlign w:val="center"/>
          </w:tcPr>
          <w:p w14:paraId="17FF55B9">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7864BA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1025" w:type="dxa"/>
            <w:vMerge w:val="restart"/>
            <w:tcBorders>
              <w:left w:val="single" w:color="000000" w:sz="6" w:space="0"/>
              <w:bottom w:val="nil"/>
            </w:tcBorders>
            <w:noWrap w:val="0"/>
            <w:vAlign w:val="center"/>
          </w:tcPr>
          <w:p w14:paraId="4ADC4047">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8"/>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探索</w:t>
            </w:r>
            <w:r>
              <w:rPr>
                <w:rFonts w:hint="default" w:ascii="Times New Roman" w:hAnsi="Times New Roman" w:eastAsia="仿宋_GB2312" w:cs="Times New Roman"/>
                <w:sz w:val="21"/>
                <w:szCs w:val="21"/>
              </w:rPr>
              <w:t>创新</w:t>
            </w:r>
            <w:r>
              <w:rPr>
                <w:rFonts w:hint="default" w:ascii="Times New Roman" w:hAnsi="Times New Roman" w:eastAsia="仿宋_GB2312" w:cs="Times New Roman"/>
                <w:spacing w:val="-4"/>
                <w:sz w:val="21"/>
                <w:szCs w:val="21"/>
              </w:rPr>
              <w:t>（20</w:t>
            </w:r>
            <w:r>
              <w:rPr>
                <w:rFonts w:hint="default" w:ascii="Times New Roman" w:hAnsi="Times New Roman" w:eastAsia="仿宋_GB2312" w:cs="Times New Roman"/>
                <w:spacing w:val="-1"/>
                <w:sz w:val="21"/>
                <w:szCs w:val="21"/>
              </w:rPr>
              <w:t>分）</w:t>
            </w:r>
          </w:p>
        </w:tc>
        <w:tc>
          <w:tcPr>
            <w:tcW w:w="362" w:type="dxa"/>
            <w:noWrap w:val="0"/>
            <w:vAlign w:val="center"/>
          </w:tcPr>
          <w:p w14:paraId="30EB9105">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4"/>
                <w:sz w:val="21"/>
                <w:szCs w:val="21"/>
              </w:rPr>
              <w:t>2</w:t>
            </w:r>
            <w:r>
              <w:rPr>
                <w:rFonts w:hint="default" w:ascii="Times New Roman" w:hAnsi="Times New Roman" w:eastAsia="仿宋_GB2312" w:cs="Times New Roman"/>
                <w:spacing w:val="-4"/>
                <w:sz w:val="21"/>
                <w:szCs w:val="21"/>
                <w:lang w:val="en-US" w:eastAsia="zh-CN"/>
              </w:rPr>
              <w:t>9</w:t>
            </w:r>
          </w:p>
        </w:tc>
        <w:tc>
          <w:tcPr>
            <w:tcW w:w="588" w:type="dxa"/>
            <w:noWrap w:val="0"/>
            <w:vAlign w:val="center"/>
          </w:tcPr>
          <w:p w14:paraId="530C7CA8">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1605B768">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0"/>
                <w:w w:val="100"/>
                <w:sz w:val="21"/>
                <w:szCs w:val="21"/>
              </w:rPr>
              <w:t>围绕食品、药品、特种设备和工业产品质量安全等重点领域强化网络市场监管的创新性实践（3分）</w:t>
            </w:r>
          </w:p>
        </w:tc>
        <w:tc>
          <w:tcPr>
            <w:tcW w:w="5687" w:type="dxa"/>
            <w:noWrap w:val="0"/>
            <w:vAlign w:val="center"/>
          </w:tcPr>
          <w:p w14:paraId="7EDB3385">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1.运用大数据、云计算、人工智能等信息化手段及时归集和综合运用相关数据，提升监管精准性、协调性和有效性等方面的创新性实践；</w:t>
            </w:r>
          </w:p>
          <w:p w14:paraId="63BA8377">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2.网络市场违法违规行为电子取证、网络交易经营者合规管理等方面开展的创新性实践；</w:t>
            </w:r>
          </w:p>
          <w:p w14:paraId="3AF97687">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3.其他结合地方特色开展的创新性监管。符合一项即可得3分。</w:t>
            </w:r>
          </w:p>
        </w:tc>
        <w:tc>
          <w:tcPr>
            <w:tcW w:w="3888" w:type="dxa"/>
            <w:noWrap w:val="0"/>
            <w:vAlign w:val="center"/>
          </w:tcPr>
          <w:p w14:paraId="7A5BD9D1">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2D868749">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来源：创建对象提供。</w:t>
            </w:r>
          </w:p>
        </w:tc>
        <w:tc>
          <w:tcPr>
            <w:tcW w:w="1927" w:type="dxa"/>
            <w:tcBorders>
              <w:right w:val="single" w:color="000000" w:sz="6" w:space="0"/>
            </w:tcBorders>
            <w:noWrap w:val="0"/>
            <w:vAlign w:val="center"/>
          </w:tcPr>
          <w:p w14:paraId="64BA57F9">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60C0C22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60" w:hRule="atLeast"/>
        </w:trPr>
        <w:tc>
          <w:tcPr>
            <w:tcW w:w="1025" w:type="dxa"/>
            <w:vMerge w:val="continue"/>
            <w:tcBorders>
              <w:top w:val="nil"/>
              <w:left w:val="single" w:color="000000" w:sz="6" w:space="0"/>
              <w:bottom w:val="single" w:color="000000" w:sz="6" w:space="0"/>
            </w:tcBorders>
            <w:noWrap w:val="0"/>
            <w:vAlign w:val="center"/>
          </w:tcPr>
          <w:p w14:paraId="1C03BAA8">
            <w:pPr>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782F6E70">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spacing w:val="-4"/>
                <w:sz w:val="21"/>
                <w:szCs w:val="21"/>
                <w:lang w:val="en-US" w:eastAsia="zh-CN"/>
              </w:rPr>
              <w:t>30</w:t>
            </w:r>
          </w:p>
        </w:tc>
        <w:tc>
          <w:tcPr>
            <w:tcW w:w="588" w:type="dxa"/>
            <w:tcBorders>
              <w:bottom w:val="single" w:color="000000" w:sz="6" w:space="0"/>
            </w:tcBorders>
            <w:noWrap w:val="0"/>
            <w:vAlign w:val="center"/>
          </w:tcPr>
          <w:p w14:paraId="1C76ED1B">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tcBorders>
              <w:bottom w:val="single" w:color="000000" w:sz="6" w:space="0"/>
            </w:tcBorders>
            <w:noWrap w:val="0"/>
            <w:vAlign w:val="center"/>
          </w:tcPr>
          <w:p w14:paraId="3774DAB1">
            <w:pPr>
              <w:pStyle w:val="10"/>
              <w:keepNext w:val="0"/>
              <w:keepLines w:val="0"/>
              <w:pageBreakBefore w:val="0"/>
              <w:widowControl w:val="0"/>
              <w:kinsoku/>
              <w:wordWrap/>
              <w:overflowPunct/>
              <w:topLinePunct w:val="0"/>
              <w:autoSpaceDE/>
              <w:autoSpaceDN/>
              <w:bidi w:val="0"/>
              <w:adjustRightInd/>
              <w:snapToGrid/>
              <w:spacing w:line="280" w:lineRule="exact"/>
              <w:ind w:left="0" w:right="0" w:hanging="4"/>
              <w:jc w:val="left"/>
              <w:textAlignment w:val="auto"/>
              <w:outlineLvl w:val="9"/>
              <w:rPr>
                <w:rFonts w:hint="default" w:ascii="Times New Roman" w:hAnsi="Times New Roman" w:eastAsia="仿宋_GB2312" w:cs="Times New Roman"/>
                <w:spacing w:val="0"/>
                <w:w w:val="100"/>
                <w:sz w:val="21"/>
                <w:szCs w:val="21"/>
              </w:rPr>
            </w:pPr>
            <w:r>
              <w:rPr>
                <w:rFonts w:hint="default" w:ascii="Times New Roman" w:hAnsi="Times New Roman" w:eastAsia="仿宋_GB2312" w:cs="Times New Roman"/>
                <w:spacing w:val="-6"/>
                <w:w w:val="100"/>
                <w:sz w:val="21"/>
                <w:szCs w:val="21"/>
              </w:rPr>
              <w:t>强化平台经济、数字经济发展规律研究，创新开展网络市场监管实践（3分）</w:t>
            </w:r>
          </w:p>
        </w:tc>
        <w:tc>
          <w:tcPr>
            <w:tcW w:w="5687" w:type="dxa"/>
            <w:tcBorders>
              <w:bottom w:val="single" w:color="000000" w:sz="6" w:space="0"/>
            </w:tcBorders>
            <w:noWrap w:val="0"/>
            <w:vAlign w:val="center"/>
          </w:tcPr>
          <w:p w14:paraId="70E684D5">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1.在新经济新模式新领域探索开展沙盒监管、触发式监管等前瞻性、创新性实践；</w:t>
            </w:r>
          </w:p>
          <w:p w14:paraId="4E538572">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2.引入行业协会、平台企业、媒体、公众和第三方机构等社会力量开展社会共治的创新性实践；</w:t>
            </w:r>
          </w:p>
          <w:p w14:paraId="2AF6BC60">
            <w:pPr>
              <w:pStyle w:val="10"/>
              <w:keepNext w:val="0"/>
              <w:keepLines w:val="0"/>
              <w:pageBreakBefore w:val="0"/>
              <w:widowControl w:val="0"/>
              <w:kinsoku/>
              <w:wordWrap/>
              <w:overflowPunct/>
              <w:topLinePunct w:val="0"/>
              <w:autoSpaceDE/>
              <w:autoSpaceDN/>
              <w:bidi w:val="0"/>
              <w:adjustRightInd/>
              <w:snapToGrid/>
              <w:spacing w:line="280" w:lineRule="exact"/>
              <w:ind w:left="0" w:right="0" w:firstLine="5"/>
              <w:jc w:val="left"/>
              <w:textAlignment w:val="auto"/>
              <w:outlineLvl w:val="9"/>
              <w:rPr>
                <w:rFonts w:hint="default" w:ascii="Times New Roman" w:hAnsi="Times New Roman" w:eastAsia="仿宋_GB2312" w:cs="Times New Roman"/>
                <w:spacing w:val="-2"/>
                <w:sz w:val="21"/>
                <w:szCs w:val="21"/>
              </w:rPr>
            </w:pPr>
            <w:r>
              <w:rPr>
                <w:rFonts w:hint="default" w:ascii="Times New Roman" w:hAnsi="Times New Roman" w:eastAsia="仿宋_GB2312" w:cs="Times New Roman"/>
                <w:spacing w:val="-2"/>
                <w:sz w:val="21"/>
                <w:szCs w:val="21"/>
              </w:rPr>
              <w:t>3.其他结合地方特色开展的创新性监管。符合一项即可得3分。</w:t>
            </w:r>
          </w:p>
        </w:tc>
        <w:tc>
          <w:tcPr>
            <w:tcW w:w="3888" w:type="dxa"/>
            <w:tcBorders>
              <w:bottom w:val="single" w:color="000000" w:sz="6" w:space="0"/>
            </w:tcBorders>
            <w:noWrap w:val="0"/>
            <w:vAlign w:val="center"/>
          </w:tcPr>
          <w:p w14:paraId="0E7D8AAB">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方式：资料审查、专家评估。</w:t>
            </w:r>
          </w:p>
          <w:p w14:paraId="4899C8BE">
            <w:pPr>
              <w:pStyle w:val="10"/>
              <w:keepNext w:val="0"/>
              <w:keepLines w:val="0"/>
              <w:pageBreakBefore w:val="0"/>
              <w:widowControl w:val="0"/>
              <w:kinsoku/>
              <w:wordWrap/>
              <w:overflowPunct/>
              <w:topLinePunct w:val="0"/>
              <w:autoSpaceDE/>
              <w:autoSpaceDN/>
              <w:bidi w:val="0"/>
              <w:adjustRightInd/>
              <w:snapToGrid/>
              <w:spacing w:line="280" w:lineRule="exact"/>
              <w:ind w:left="0" w:right="0" w:hanging="2"/>
              <w:jc w:val="center"/>
              <w:textAlignment w:val="auto"/>
              <w:outlineLvl w:val="9"/>
              <w:rPr>
                <w:rFonts w:hint="default" w:ascii="Times New Roman" w:hAnsi="Times New Roman" w:eastAsia="仿宋_GB2312" w:cs="Times New Roman"/>
                <w:spacing w:val="-5"/>
                <w:sz w:val="21"/>
                <w:szCs w:val="21"/>
              </w:rPr>
            </w:pPr>
            <w:r>
              <w:rPr>
                <w:rFonts w:hint="default" w:ascii="Times New Roman" w:hAnsi="Times New Roman" w:eastAsia="仿宋_GB2312" w:cs="Times New Roman"/>
                <w:spacing w:val="-5"/>
                <w:sz w:val="21"/>
                <w:szCs w:val="21"/>
              </w:rPr>
              <w:t>来源：创建对象提供。</w:t>
            </w:r>
          </w:p>
        </w:tc>
        <w:tc>
          <w:tcPr>
            <w:tcW w:w="1927" w:type="dxa"/>
            <w:tcBorders>
              <w:bottom w:val="single" w:color="000000" w:sz="6" w:space="0"/>
              <w:right w:val="single" w:color="000000" w:sz="6" w:space="0"/>
            </w:tcBorders>
            <w:noWrap w:val="0"/>
            <w:vAlign w:val="center"/>
          </w:tcPr>
          <w:p w14:paraId="1BB157E6">
            <w:pPr>
              <w:pStyle w:val="10"/>
              <w:keepNext w:val="0"/>
              <w:keepLines w:val="0"/>
              <w:pageBreakBefore w:val="0"/>
              <w:widowControl w:val="0"/>
              <w:kinsoku/>
              <w:wordWrap/>
              <w:overflowPunct/>
              <w:topLinePunct w:val="0"/>
              <w:autoSpaceDE/>
              <w:autoSpaceDN/>
              <w:bidi w:val="0"/>
              <w:adjustRightInd/>
              <w:snapToGrid/>
              <w:spacing w:line="28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市场监管局</w:t>
            </w:r>
          </w:p>
        </w:tc>
      </w:tr>
      <w:tr w14:paraId="01D6321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25" w:type="dxa"/>
            <w:tcBorders>
              <w:top w:val="single" w:color="000000" w:sz="6" w:space="0"/>
              <w:left w:val="single" w:color="000000" w:sz="6" w:space="0"/>
            </w:tcBorders>
            <w:noWrap w:val="0"/>
            <w:vAlign w:val="center"/>
          </w:tcPr>
          <w:p w14:paraId="037847E8">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一级指标</w:t>
            </w:r>
          </w:p>
        </w:tc>
        <w:tc>
          <w:tcPr>
            <w:tcW w:w="362" w:type="dxa"/>
            <w:tcBorders>
              <w:top w:val="single" w:color="000000" w:sz="6" w:space="0"/>
            </w:tcBorders>
            <w:noWrap w:val="0"/>
            <w:textDirection w:val="tbRlV"/>
            <w:vAlign w:val="center"/>
          </w:tcPr>
          <w:p w14:paraId="6F228E8F">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编号</w:t>
            </w:r>
          </w:p>
        </w:tc>
        <w:tc>
          <w:tcPr>
            <w:tcW w:w="588" w:type="dxa"/>
            <w:tcBorders>
              <w:top w:val="single" w:color="000000" w:sz="6" w:space="0"/>
            </w:tcBorders>
            <w:noWrap w:val="0"/>
            <w:vAlign w:val="center"/>
          </w:tcPr>
          <w:p w14:paraId="6A46BBE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变量性质</w:t>
            </w:r>
          </w:p>
        </w:tc>
        <w:tc>
          <w:tcPr>
            <w:tcW w:w="1750" w:type="dxa"/>
            <w:tcBorders>
              <w:top w:val="single" w:color="000000" w:sz="6" w:space="0"/>
            </w:tcBorders>
            <w:noWrap w:val="0"/>
            <w:vAlign w:val="center"/>
          </w:tcPr>
          <w:p w14:paraId="34522E43">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三级指标</w:t>
            </w:r>
          </w:p>
        </w:tc>
        <w:tc>
          <w:tcPr>
            <w:tcW w:w="5687" w:type="dxa"/>
            <w:tcBorders>
              <w:top w:val="single" w:color="000000" w:sz="6" w:space="0"/>
            </w:tcBorders>
            <w:noWrap w:val="0"/>
            <w:vAlign w:val="center"/>
          </w:tcPr>
          <w:p w14:paraId="6ACCFF17">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指标说明及打分标准</w:t>
            </w:r>
          </w:p>
        </w:tc>
        <w:tc>
          <w:tcPr>
            <w:tcW w:w="3888" w:type="dxa"/>
            <w:tcBorders>
              <w:top w:val="single" w:color="000000" w:sz="6" w:space="0"/>
            </w:tcBorders>
            <w:noWrap w:val="0"/>
            <w:vAlign w:val="center"/>
          </w:tcPr>
          <w:p w14:paraId="512848A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lang w:val="en-US" w:eastAsia="en-US"/>
              </w:rPr>
            </w:pPr>
            <w:r>
              <w:rPr>
                <w:rFonts w:hint="default" w:ascii="Times New Roman" w:hAnsi="Times New Roman" w:eastAsia="黑体" w:cs="黑体"/>
                <w:lang w:val="en-US" w:eastAsia="en-US"/>
              </w:rPr>
              <w:t>评估方式及数据或资料来源</w:t>
            </w:r>
          </w:p>
        </w:tc>
        <w:tc>
          <w:tcPr>
            <w:tcW w:w="1927" w:type="dxa"/>
            <w:tcBorders>
              <w:top w:val="single" w:color="000000" w:sz="6" w:space="0"/>
              <w:right w:val="single" w:color="000000" w:sz="6" w:space="0"/>
            </w:tcBorders>
            <w:noWrap w:val="0"/>
            <w:vAlign w:val="center"/>
          </w:tcPr>
          <w:p w14:paraId="50E8E0CD">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lang w:val="en-US" w:eastAsia="en-US"/>
              </w:rPr>
            </w:pPr>
            <w:r>
              <w:rPr>
                <w:rFonts w:hint="default" w:ascii="Times New Roman" w:hAnsi="Times New Roman" w:eastAsia="黑体" w:cs="黑体"/>
                <w:lang w:val="en-US" w:eastAsia="en-US"/>
              </w:rPr>
              <w:t>责任单位或数据材料提供单位</w:t>
            </w:r>
          </w:p>
        </w:tc>
      </w:tr>
      <w:tr w14:paraId="0F7D6E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03" w:hRule="atLeast"/>
        </w:trPr>
        <w:tc>
          <w:tcPr>
            <w:tcW w:w="1025" w:type="dxa"/>
            <w:vMerge w:val="restart"/>
            <w:tcBorders>
              <w:left w:val="single" w:color="000000" w:sz="6" w:space="0"/>
              <w:bottom w:val="nil"/>
            </w:tcBorders>
            <w:noWrap w:val="0"/>
            <w:vAlign w:val="center"/>
          </w:tcPr>
          <w:p w14:paraId="5788D00C">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探索</w:t>
            </w:r>
            <w:r>
              <w:rPr>
                <w:rFonts w:hint="default" w:ascii="Times New Roman" w:hAnsi="Times New Roman" w:eastAsia="仿宋_GB2312" w:cs="Times New Roman"/>
                <w:sz w:val="21"/>
                <w:szCs w:val="21"/>
              </w:rPr>
              <w:t>创新</w:t>
            </w:r>
            <w:r>
              <w:rPr>
                <w:rFonts w:hint="default" w:ascii="Times New Roman" w:hAnsi="Times New Roman" w:eastAsia="仿宋_GB2312" w:cs="Times New Roman"/>
                <w:spacing w:val="-4"/>
                <w:sz w:val="21"/>
                <w:szCs w:val="21"/>
              </w:rPr>
              <w:t>（20</w:t>
            </w:r>
            <w:r>
              <w:rPr>
                <w:rFonts w:hint="default" w:ascii="Times New Roman" w:hAnsi="Times New Roman" w:eastAsia="仿宋_GB2312" w:cs="Times New Roman"/>
                <w:spacing w:val="-1"/>
                <w:sz w:val="21"/>
                <w:szCs w:val="21"/>
              </w:rPr>
              <w:t>分）</w:t>
            </w:r>
          </w:p>
        </w:tc>
        <w:tc>
          <w:tcPr>
            <w:tcW w:w="362" w:type="dxa"/>
            <w:noWrap w:val="0"/>
            <w:vAlign w:val="center"/>
          </w:tcPr>
          <w:p w14:paraId="3458560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1</w:t>
            </w:r>
          </w:p>
        </w:tc>
        <w:tc>
          <w:tcPr>
            <w:tcW w:w="588" w:type="dxa"/>
            <w:noWrap w:val="0"/>
            <w:vAlign w:val="center"/>
          </w:tcPr>
          <w:p w14:paraId="1A62F90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7A2797E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0"/>
                <w:sz w:val="21"/>
                <w:szCs w:val="21"/>
              </w:rPr>
              <w:t>强化平台经济、数字</w:t>
            </w:r>
            <w:r>
              <w:rPr>
                <w:rFonts w:hint="default" w:ascii="Times New Roman" w:hAnsi="Times New Roman" w:eastAsia="仿宋_GB2312" w:cs="Times New Roman"/>
                <w:spacing w:val="-6"/>
                <w:sz w:val="21"/>
                <w:szCs w:val="21"/>
              </w:rPr>
              <w:t>经济发展规律研究，</w:t>
            </w:r>
            <w:r>
              <w:rPr>
                <w:rFonts w:hint="default" w:ascii="Times New Roman" w:hAnsi="Times New Roman" w:eastAsia="仿宋_GB2312" w:cs="Times New Roman"/>
                <w:spacing w:val="18"/>
                <w:sz w:val="21"/>
                <w:szCs w:val="21"/>
              </w:rPr>
              <w:t>创新开展网络市场</w:t>
            </w:r>
            <w:r>
              <w:rPr>
                <w:rFonts w:hint="default" w:ascii="Times New Roman" w:hAnsi="Times New Roman" w:eastAsia="仿宋_GB2312" w:cs="Times New Roman"/>
                <w:spacing w:val="-1"/>
                <w:sz w:val="21"/>
                <w:szCs w:val="21"/>
              </w:rPr>
              <w:t>服务实践（3分）</w:t>
            </w:r>
          </w:p>
        </w:tc>
        <w:tc>
          <w:tcPr>
            <w:tcW w:w="5687" w:type="dxa"/>
            <w:noWrap w:val="0"/>
            <w:vAlign w:val="center"/>
          </w:tcPr>
          <w:p w14:paraId="35C0CC7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1.开展“互联网+”公共服务，在完善电子商务发展综</w:t>
            </w:r>
            <w:r>
              <w:rPr>
                <w:rFonts w:hint="default" w:ascii="Times New Roman" w:hAnsi="Times New Roman" w:eastAsia="仿宋_GB2312" w:cs="Times New Roman"/>
                <w:spacing w:val="-5"/>
                <w:sz w:val="21"/>
                <w:szCs w:val="21"/>
              </w:rPr>
              <w:t>合服务体</w:t>
            </w:r>
            <w:r>
              <w:rPr>
                <w:rFonts w:hint="default" w:ascii="Times New Roman" w:hAnsi="Times New Roman" w:eastAsia="仿宋_GB2312" w:cs="Times New Roman"/>
                <w:spacing w:val="-4"/>
                <w:sz w:val="21"/>
                <w:szCs w:val="21"/>
              </w:rPr>
              <w:t>系、政企数据共享等方面开展的创新性实践；</w:t>
            </w:r>
          </w:p>
          <w:p w14:paraId="4A827423">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2.降低制度性交易成本，鼓励创新提供适应平台经济、数字经济</w:t>
            </w:r>
            <w:r>
              <w:rPr>
                <w:rFonts w:hint="default" w:ascii="Times New Roman" w:hAnsi="Times New Roman" w:eastAsia="仿宋_GB2312" w:cs="Times New Roman"/>
                <w:spacing w:val="-3"/>
                <w:sz w:val="21"/>
                <w:szCs w:val="21"/>
              </w:rPr>
              <w:t>发展的社会公共服务和公共产品等方面的创新性实践；</w:t>
            </w:r>
          </w:p>
          <w:p w14:paraId="4C309ED4">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position w:val="6"/>
                <w:sz w:val="21"/>
                <w:szCs w:val="21"/>
              </w:rPr>
              <w:t>3.其他结合地方特色开展的创新性服务。</w:t>
            </w:r>
          </w:p>
          <w:p w14:paraId="0F1384E6">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符合一项即可得3分。</w:t>
            </w:r>
          </w:p>
        </w:tc>
        <w:tc>
          <w:tcPr>
            <w:tcW w:w="3888" w:type="dxa"/>
            <w:noWrap w:val="0"/>
            <w:vAlign w:val="center"/>
          </w:tcPr>
          <w:p w14:paraId="1D3AECC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default" w:ascii="Times New Roman" w:hAnsi="Times New Roman" w:eastAsia="仿宋_GB2312" w:cs="Times New Roman"/>
                <w:spacing w:val="-3"/>
                <w:sz w:val="21"/>
                <w:szCs w:val="21"/>
              </w:rPr>
              <w:t>方式：资料审查、专家评估。</w:t>
            </w:r>
          </w:p>
          <w:p w14:paraId="6C1976C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default" w:ascii="Times New Roman" w:hAnsi="Times New Roman" w:eastAsia="仿宋_GB2312" w:cs="Times New Roman"/>
                <w:spacing w:val="-3"/>
                <w:sz w:val="21"/>
                <w:szCs w:val="21"/>
              </w:rPr>
              <w:t>来源：创建对象提供。</w:t>
            </w:r>
          </w:p>
        </w:tc>
        <w:tc>
          <w:tcPr>
            <w:tcW w:w="1927" w:type="dxa"/>
            <w:tcBorders>
              <w:right w:val="single" w:color="000000" w:sz="6" w:space="0"/>
            </w:tcBorders>
            <w:noWrap w:val="0"/>
            <w:vAlign w:val="center"/>
          </w:tcPr>
          <w:p w14:paraId="3638625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lang w:eastAsia="zh-CN"/>
              </w:rPr>
            </w:pPr>
            <w:r>
              <w:rPr>
                <w:rFonts w:hint="default" w:ascii="Times New Roman" w:hAnsi="Times New Roman" w:eastAsia="仿宋_GB2312" w:cs="Times New Roman"/>
                <w:spacing w:val="-3"/>
                <w:sz w:val="21"/>
                <w:szCs w:val="21"/>
                <w:lang w:eastAsia="zh-CN"/>
              </w:rPr>
              <w:t>党政办公室</w:t>
            </w:r>
          </w:p>
          <w:p w14:paraId="67C17BC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default" w:ascii="Times New Roman" w:hAnsi="Times New Roman" w:eastAsia="仿宋_GB2312" w:cs="Times New Roman"/>
                <w:spacing w:val="-3"/>
                <w:sz w:val="21"/>
                <w:szCs w:val="21"/>
              </w:rPr>
              <w:t>商务局</w:t>
            </w:r>
          </w:p>
          <w:p w14:paraId="3F601FB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default" w:ascii="Times New Roman" w:hAnsi="Times New Roman" w:eastAsia="仿宋_GB2312" w:cs="Times New Roman"/>
                <w:spacing w:val="-3"/>
                <w:sz w:val="21"/>
                <w:szCs w:val="21"/>
              </w:rPr>
              <w:t>市场监管局</w:t>
            </w:r>
          </w:p>
        </w:tc>
      </w:tr>
      <w:tr w14:paraId="5CAAE4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02" w:hRule="atLeast"/>
        </w:trPr>
        <w:tc>
          <w:tcPr>
            <w:tcW w:w="1025" w:type="dxa"/>
            <w:vMerge w:val="continue"/>
            <w:tcBorders>
              <w:top w:val="nil"/>
              <w:left w:val="single" w:color="000000" w:sz="6" w:space="0"/>
              <w:bottom w:val="nil"/>
            </w:tcBorders>
            <w:noWrap w:val="0"/>
            <w:vAlign w:val="center"/>
          </w:tcPr>
          <w:p w14:paraId="4E78E849">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6356D69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2</w:t>
            </w:r>
          </w:p>
        </w:tc>
        <w:tc>
          <w:tcPr>
            <w:tcW w:w="588" w:type="dxa"/>
            <w:noWrap w:val="0"/>
            <w:vAlign w:val="center"/>
          </w:tcPr>
          <w:p w14:paraId="0D04438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73031ED6">
            <w:pPr>
              <w:pStyle w:val="10"/>
              <w:keepNext w:val="0"/>
              <w:keepLines w:val="0"/>
              <w:pageBreakBefore w:val="0"/>
              <w:widowControl w:val="0"/>
              <w:kinsoku/>
              <w:wordWrap/>
              <w:overflowPunct/>
              <w:topLinePunct w:val="0"/>
              <w:autoSpaceDE/>
              <w:autoSpaceDN/>
              <w:bidi w:val="0"/>
              <w:adjustRightInd/>
              <w:snapToGrid/>
              <w:spacing w:line="300" w:lineRule="exact"/>
              <w:ind w:left="0" w:right="0" w:hanging="7"/>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8"/>
                <w:sz w:val="21"/>
                <w:szCs w:val="21"/>
              </w:rPr>
              <w:t>促进平台经济、数字</w:t>
            </w:r>
            <w:r>
              <w:rPr>
                <w:rFonts w:hint="default" w:ascii="Times New Roman" w:hAnsi="Times New Roman" w:eastAsia="仿宋_GB2312" w:cs="Times New Roman"/>
                <w:spacing w:val="16"/>
                <w:sz w:val="21"/>
                <w:szCs w:val="21"/>
              </w:rPr>
              <w:t>经济发展的创新实</w:t>
            </w:r>
            <w:r>
              <w:rPr>
                <w:rFonts w:hint="default" w:ascii="Times New Roman" w:hAnsi="Times New Roman" w:eastAsia="仿宋_GB2312" w:cs="Times New Roman"/>
                <w:spacing w:val="-4"/>
                <w:sz w:val="21"/>
                <w:szCs w:val="21"/>
              </w:rPr>
              <w:t>践（3分）</w:t>
            </w:r>
          </w:p>
        </w:tc>
        <w:tc>
          <w:tcPr>
            <w:tcW w:w="5687" w:type="dxa"/>
            <w:noWrap w:val="0"/>
            <w:vAlign w:val="center"/>
          </w:tcPr>
          <w:p w14:paraId="08455F55">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3"/>
                <w:sz w:val="21"/>
                <w:szCs w:val="21"/>
              </w:rPr>
              <w:t>1.促进线上线下融合发展，推动传统经济转</w:t>
            </w:r>
            <w:r>
              <w:rPr>
                <w:rFonts w:hint="default" w:ascii="Times New Roman" w:hAnsi="Times New Roman" w:eastAsia="仿宋_GB2312" w:cs="Times New Roman"/>
                <w:spacing w:val="-14"/>
                <w:sz w:val="21"/>
                <w:szCs w:val="21"/>
              </w:rPr>
              <w:t>型升级的创新性实践；</w:t>
            </w:r>
          </w:p>
          <w:p w14:paraId="12DB9F9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2.培育网络经济新业态新产业，推动模式创新、场景创新、组织</w:t>
            </w:r>
            <w:r>
              <w:rPr>
                <w:rFonts w:hint="default" w:ascii="Times New Roman" w:hAnsi="Times New Roman" w:eastAsia="仿宋_GB2312" w:cs="Times New Roman"/>
                <w:spacing w:val="-9"/>
                <w:sz w:val="21"/>
                <w:szCs w:val="21"/>
              </w:rPr>
              <w:t>创新的实践；</w:t>
            </w:r>
          </w:p>
          <w:p w14:paraId="08429673">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position w:val="6"/>
                <w:sz w:val="21"/>
                <w:szCs w:val="21"/>
              </w:rPr>
              <w:t>3.其他具有地方特色的创新性发展实践。</w:t>
            </w:r>
          </w:p>
          <w:p w14:paraId="264CDE07">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符合一项即可得3分。</w:t>
            </w:r>
          </w:p>
        </w:tc>
        <w:tc>
          <w:tcPr>
            <w:tcW w:w="3888" w:type="dxa"/>
            <w:noWrap w:val="0"/>
            <w:vAlign w:val="center"/>
          </w:tcPr>
          <w:p w14:paraId="7F5F39E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eastAsia" w:ascii="Times New Roman" w:hAnsi="Times New Roman" w:eastAsia="仿宋_GB2312" w:cs="Times New Roman"/>
                <w:spacing w:val="-3"/>
                <w:sz w:val="21"/>
                <w:szCs w:val="21"/>
                <w:lang w:eastAsia="zh-CN"/>
              </w:rPr>
            </w:pPr>
            <w:r>
              <w:rPr>
                <w:rFonts w:hint="default" w:ascii="Times New Roman" w:hAnsi="Times New Roman" w:eastAsia="仿宋_GB2312" w:cs="Times New Roman"/>
                <w:spacing w:val="-3"/>
                <w:sz w:val="21"/>
                <w:szCs w:val="21"/>
              </w:rPr>
              <w:t>方式：资料审查、专家评估。</w:t>
            </w:r>
          </w:p>
          <w:p w14:paraId="7B059C9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eastAsia" w:ascii="Times New Roman" w:hAnsi="Times New Roman" w:eastAsia="仿宋_GB2312" w:cs="Times New Roman"/>
                <w:spacing w:val="-3"/>
                <w:sz w:val="21"/>
                <w:szCs w:val="21"/>
                <w:lang w:eastAsia="zh-CN"/>
              </w:rPr>
              <w:t>来源：</w:t>
            </w:r>
            <w:r>
              <w:rPr>
                <w:rFonts w:hint="default" w:ascii="Times New Roman" w:hAnsi="Times New Roman" w:eastAsia="仿宋_GB2312" w:cs="Times New Roman"/>
                <w:spacing w:val="-3"/>
                <w:sz w:val="21"/>
                <w:szCs w:val="21"/>
              </w:rPr>
              <w:t>创建对象提供。</w:t>
            </w:r>
          </w:p>
        </w:tc>
        <w:tc>
          <w:tcPr>
            <w:tcW w:w="1927" w:type="dxa"/>
            <w:tcBorders>
              <w:right w:val="single" w:color="000000" w:sz="6" w:space="0"/>
            </w:tcBorders>
            <w:noWrap w:val="0"/>
            <w:vAlign w:val="center"/>
          </w:tcPr>
          <w:p w14:paraId="42AE7AA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pacing w:val="-3"/>
                <w:sz w:val="21"/>
                <w:szCs w:val="21"/>
              </w:rPr>
            </w:pPr>
            <w:r>
              <w:rPr>
                <w:rFonts w:hint="default" w:ascii="Times New Roman" w:hAnsi="Times New Roman" w:eastAsia="仿宋_GB2312" w:cs="Times New Roman"/>
                <w:spacing w:val="-3"/>
                <w:sz w:val="21"/>
                <w:szCs w:val="21"/>
              </w:rPr>
              <w:t>商务局</w:t>
            </w:r>
          </w:p>
        </w:tc>
      </w:tr>
      <w:tr w14:paraId="76E565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2" w:hRule="atLeast"/>
        </w:trPr>
        <w:tc>
          <w:tcPr>
            <w:tcW w:w="1025" w:type="dxa"/>
            <w:vMerge w:val="continue"/>
            <w:tcBorders>
              <w:top w:val="nil"/>
              <w:left w:val="single" w:color="000000" w:sz="6" w:space="0"/>
              <w:bottom w:val="nil"/>
            </w:tcBorders>
            <w:noWrap w:val="0"/>
            <w:vAlign w:val="center"/>
          </w:tcPr>
          <w:p w14:paraId="1B6D2390">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3E4BBFD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3</w:t>
            </w:r>
          </w:p>
        </w:tc>
        <w:tc>
          <w:tcPr>
            <w:tcW w:w="588" w:type="dxa"/>
            <w:noWrap w:val="0"/>
            <w:vAlign w:val="center"/>
          </w:tcPr>
          <w:p w14:paraId="783D3505">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343AE4EF">
            <w:pPr>
              <w:pStyle w:val="10"/>
              <w:keepNext w:val="0"/>
              <w:keepLines w:val="0"/>
              <w:pageBreakBefore w:val="0"/>
              <w:widowControl w:val="0"/>
              <w:kinsoku/>
              <w:wordWrap/>
              <w:overflowPunct/>
              <w:topLinePunct w:val="0"/>
              <w:autoSpaceDE/>
              <w:autoSpaceDN/>
              <w:bidi w:val="0"/>
              <w:adjustRightInd/>
              <w:snapToGrid/>
              <w:spacing w:line="300" w:lineRule="exact"/>
              <w:ind w:left="0" w:right="0" w:hanging="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8"/>
                <w:sz w:val="21"/>
                <w:szCs w:val="21"/>
              </w:rPr>
              <w:t>创新工作得到省级</w:t>
            </w:r>
            <w:r>
              <w:rPr>
                <w:rFonts w:hint="default" w:ascii="Times New Roman" w:hAnsi="Times New Roman" w:eastAsia="仿宋_GB2312" w:cs="Times New Roman"/>
                <w:spacing w:val="-9"/>
                <w:sz w:val="21"/>
                <w:szCs w:val="21"/>
              </w:rPr>
              <w:t>以上党委、政府和国</w:t>
            </w:r>
            <w:r>
              <w:rPr>
                <w:rFonts w:hint="default" w:ascii="Times New Roman" w:hAnsi="Times New Roman" w:eastAsia="仿宋_GB2312" w:cs="Times New Roman"/>
                <w:spacing w:val="10"/>
                <w:sz w:val="21"/>
                <w:szCs w:val="21"/>
              </w:rPr>
              <w:t>务院有关部门的认</w:t>
            </w:r>
            <w:r>
              <w:rPr>
                <w:rFonts w:hint="default" w:ascii="Times New Roman" w:hAnsi="Times New Roman" w:eastAsia="仿宋_GB2312" w:cs="Times New Roman"/>
                <w:spacing w:val="-3"/>
                <w:sz w:val="21"/>
                <w:szCs w:val="21"/>
              </w:rPr>
              <w:t>可（3分）</w:t>
            </w:r>
          </w:p>
        </w:tc>
        <w:tc>
          <w:tcPr>
            <w:tcW w:w="5687" w:type="dxa"/>
            <w:noWrap w:val="0"/>
            <w:vAlign w:val="center"/>
          </w:tcPr>
          <w:p w14:paraId="78D18B39">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创新工作被省级以上党委、政府和国务院有关部门表彰表扬、宣传推广。（包括表彰表扬、会议交流、信息刊发、典型经验、领</w:t>
            </w:r>
            <w:r>
              <w:rPr>
                <w:rFonts w:hint="default" w:ascii="Times New Roman" w:hAnsi="Times New Roman" w:eastAsia="仿宋_GB2312" w:cs="Times New Roman"/>
                <w:spacing w:val="-1"/>
                <w:sz w:val="21"/>
                <w:szCs w:val="21"/>
              </w:rPr>
              <w:t>导批示等形式）（3分）</w:t>
            </w:r>
          </w:p>
        </w:tc>
        <w:tc>
          <w:tcPr>
            <w:tcW w:w="3888" w:type="dxa"/>
            <w:noWrap w:val="0"/>
            <w:vAlign w:val="center"/>
          </w:tcPr>
          <w:p w14:paraId="2439C0E4">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0B4064D3">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5A0871A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0D8BBD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1025" w:type="dxa"/>
            <w:vMerge w:val="continue"/>
            <w:tcBorders>
              <w:top w:val="nil"/>
              <w:left w:val="single" w:color="000000" w:sz="6" w:space="0"/>
              <w:bottom w:val="nil"/>
            </w:tcBorders>
            <w:noWrap w:val="0"/>
            <w:vAlign w:val="center"/>
          </w:tcPr>
          <w:p w14:paraId="63551496">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2D2CE7BC">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4</w:t>
            </w:r>
          </w:p>
        </w:tc>
        <w:tc>
          <w:tcPr>
            <w:tcW w:w="588" w:type="dxa"/>
            <w:noWrap w:val="0"/>
            <w:vAlign w:val="center"/>
          </w:tcPr>
          <w:p w14:paraId="5C07092D">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178AD73D">
            <w:pPr>
              <w:pStyle w:val="10"/>
              <w:keepNext w:val="0"/>
              <w:keepLines w:val="0"/>
              <w:pageBreakBefore w:val="0"/>
              <w:widowControl w:val="0"/>
              <w:kinsoku/>
              <w:wordWrap/>
              <w:overflowPunct/>
              <w:topLinePunct w:val="0"/>
              <w:autoSpaceDE/>
              <w:autoSpaceDN/>
              <w:bidi w:val="0"/>
              <w:adjustRightInd/>
              <w:snapToGrid/>
              <w:spacing w:line="300" w:lineRule="exact"/>
              <w:ind w:left="0" w:right="0" w:hanging="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2"/>
                <w:sz w:val="21"/>
                <w:szCs w:val="21"/>
              </w:rPr>
              <w:t>创新工作被</w:t>
            </w:r>
            <w:r>
              <w:rPr>
                <w:rFonts w:hint="default" w:ascii="Times New Roman" w:hAnsi="Times New Roman" w:eastAsia="仿宋_GB2312" w:cs="Times New Roman"/>
                <w:spacing w:val="12"/>
                <w:sz w:val="21"/>
                <w:szCs w:val="21"/>
                <w:lang w:eastAsia="zh-CN"/>
              </w:rPr>
              <w:t>省</w:t>
            </w:r>
            <w:r>
              <w:rPr>
                <w:rFonts w:hint="default" w:ascii="Times New Roman" w:hAnsi="Times New Roman" w:eastAsia="仿宋_GB2312" w:cs="Times New Roman"/>
                <w:spacing w:val="12"/>
                <w:sz w:val="21"/>
                <w:szCs w:val="21"/>
              </w:rPr>
              <w:t>级</w:t>
            </w:r>
            <w:r>
              <w:rPr>
                <w:rFonts w:hint="default" w:ascii="Times New Roman" w:hAnsi="Times New Roman" w:eastAsia="仿宋_GB2312" w:cs="Times New Roman"/>
                <w:spacing w:val="16"/>
                <w:sz w:val="21"/>
                <w:szCs w:val="21"/>
              </w:rPr>
              <w:t>和省部级媒体宣传</w:t>
            </w:r>
            <w:r>
              <w:rPr>
                <w:rFonts w:hint="default" w:ascii="Times New Roman" w:hAnsi="Times New Roman" w:eastAsia="仿宋_GB2312" w:cs="Times New Roman"/>
                <w:spacing w:val="-3"/>
                <w:sz w:val="21"/>
                <w:szCs w:val="21"/>
              </w:rPr>
              <w:t>报道（3分）</w:t>
            </w:r>
          </w:p>
        </w:tc>
        <w:tc>
          <w:tcPr>
            <w:tcW w:w="5687" w:type="dxa"/>
            <w:noWrap w:val="0"/>
            <w:vAlign w:val="center"/>
          </w:tcPr>
          <w:p w14:paraId="5A3219B1">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position w:val="6"/>
                <w:sz w:val="21"/>
                <w:szCs w:val="21"/>
              </w:rPr>
              <w:t>1.创新工作被</w:t>
            </w:r>
            <w:r>
              <w:rPr>
                <w:rFonts w:hint="default" w:ascii="Times New Roman" w:hAnsi="Times New Roman" w:eastAsia="仿宋_GB2312" w:cs="Times New Roman"/>
                <w:spacing w:val="-2"/>
                <w:position w:val="6"/>
                <w:sz w:val="21"/>
                <w:szCs w:val="21"/>
                <w:lang w:eastAsia="zh-CN"/>
              </w:rPr>
              <w:t>省</w:t>
            </w:r>
            <w:r>
              <w:rPr>
                <w:rFonts w:hint="default" w:ascii="Times New Roman" w:hAnsi="Times New Roman" w:eastAsia="仿宋_GB2312" w:cs="Times New Roman"/>
                <w:spacing w:val="-2"/>
                <w:position w:val="6"/>
                <w:sz w:val="21"/>
                <w:szCs w:val="21"/>
              </w:rPr>
              <w:t>级媒体宣传报道</w:t>
            </w:r>
            <w:r>
              <w:rPr>
                <w:rFonts w:hint="default" w:ascii="Times New Roman" w:hAnsi="Times New Roman" w:eastAsia="仿宋_GB2312" w:cs="Times New Roman"/>
                <w:spacing w:val="5"/>
                <w:position w:val="6"/>
                <w:sz w:val="21"/>
                <w:szCs w:val="21"/>
              </w:rPr>
              <w:t>；（</w:t>
            </w:r>
            <w:r>
              <w:rPr>
                <w:rFonts w:hint="default" w:ascii="Times New Roman" w:hAnsi="Times New Roman" w:eastAsia="仿宋_GB2312" w:cs="Times New Roman"/>
                <w:spacing w:val="-2"/>
                <w:position w:val="6"/>
                <w:sz w:val="21"/>
                <w:szCs w:val="21"/>
              </w:rPr>
              <w:t>2分）</w:t>
            </w:r>
          </w:p>
          <w:p w14:paraId="3A74244B">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2.创新工作被省部级媒体宣传报道。（1</w:t>
            </w:r>
            <w:r>
              <w:rPr>
                <w:rFonts w:hint="default" w:ascii="Times New Roman" w:hAnsi="Times New Roman" w:eastAsia="仿宋_GB2312" w:cs="Times New Roman"/>
                <w:spacing w:val="-2"/>
                <w:sz w:val="21"/>
                <w:szCs w:val="21"/>
              </w:rPr>
              <w:t>分）</w:t>
            </w:r>
          </w:p>
        </w:tc>
        <w:tc>
          <w:tcPr>
            <w:tcW w:w="3888" w:type="dxa"/>
            <w:noWrap w:val="0"/>
            <w:vAlign w:val="center"/>
          </w:tcPr>
          <w:p w14:paraId="1C45C8AF">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5368EE03">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746F72A4">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406869E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1025" w:type="dxa"/>
            <w:vMerge w:val="continue"/>
            <w:tcBorders>
              <w:top w:val="nil"/>
              <w:left w:val="single" w:color="000000" w:sz="6" w:space="0"/>
            </w:tcBorders>
            <w:noWrap w:val="0"/>
            <w:vAlign w:val="center"/>
          </w:tcPr>
          <w:p w14:paraId="435F6501">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3131C06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5</w:t>
            </w:r>
          </w:p>
        </w:tc>
        <w:tc>
          <w:tcPr>
            <w:tcW w:w="588" w:type="dxa"/>
            <w:noWrap w:val="0"/>
            <w:vAlign w:val="center"/>
          </w:tcPr>
          <w:p w14:paraId="19315AB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定量</w:t>
            </w:r>
          </w:p>
        </w:tc>
        <w:tc>
          <w:tcPr>
            <w:tcW w:w="1750" w:type="dxa"/>
            <w:noWrap w:val="0"/>
            <w:vAlign w:val="center"/>
          </w:tcPr>
          <w:p w14:paraId="57C9B313">
            <w:pPr>
              <w:pStyle w:val="10"/>
              <w:keepNext w:val="0"/>
              <w:keepLines w:val="0"/>
              <w:pageBreakBefore w:val="0"/>
              <w:widowControl w:val="0"/>
              <w:kinsoku/>
              <w:wordWrap/>
              <w:overflowPunct/>
              <w:topLinePunct w:val="0"/>
              <w:autoSpaceDE/>
              <w:autoSpaceDN/>
              <w:bidi w:val="0"/>
              <w:adjustRightInd/>
              <w:snapToGrid/>
              <w:spacing w:line="300" w:lineRule="exact"/>
              <w:ind w:left="0" w:right="0" w:hanging="3"/>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5"/>
                <w:sz w:val="21"/>
                <w:szCs w:val="21"/>
              </w:rPr>
              <w:t>创新工作形成制度化、</w:t>
            </w:r>
            <w:r>
              <w:rPr>
                <w:rFonts w:hint="default" w:ascii="Times New Roman" w:hAnsi="Times New Roman" w:eastAsia="仿宋_GB2312" w:cs="Times New Roman"/>
                <w:spacing w:val="-20"/>
                <w:sz w:val="21"/>
                <w:szCs w:val="21"/>
              </w:rPr>
              <w:t>标准化成果（2分）</w:t>
            </w:r>
          </w:p>
        </w:tc>
        <w:tc>
          <w:tcPr>
            <w:tcW w:w="5687" w:type="dxa"/>
            <w:noWrap w:val="0"/>
            <w:vAlign w:val="center"/>
          </w:tcPr>
          <w:p w14:paraId="407FA47B">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形成网络市场监管与服务有关法规、规章、规范性文件或标准。</w:t>
            </w:r>
            <w:r>
              <w:rPr>
                <w:rFonts w:hint="default" w:ascii="Times New Roman" w:hAnsi="Times New Roman" w:eastAsia="仿宋_GB2312" w:cs="Times New Roman"/>
                <w:spacing w:val="-9"/>
                <w:sz w:val="21"/>
                <w:szCs w:val="21"/>
              </w:rPr>
              <w:t>（有1项得1分，最高得2分）</w:t>
            </w:r>
          </w:p>
        </w:tc>
        <w:tc>
          <w:tcPr>
            <w:tcW w:w="3888" w:type="dxa"/>
            <w:noWrap w:val="0"/>
            <w:vAlign w:val="center"/>
          </w:tcPr>
          <w:p w14:paraId="419F5BED">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03A62EB6">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35D30C3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042CB2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3" w:hRule="atLeast"/>
        </w:trPr>
        <w:tc>
          <w:tcPr>
            <w:tcW w:w="1025" w:type="dxa"/>
            <w:vMerge w:val="restart"/>
            <w:tcBorders>
              <w:left w:val="single" w:color="000000" w:sz="6" w:space="0"/>
              <w:bottom w:val="nil"/>
            </w:tcBorders>
            <w:noWrap w:val="0"/>
            <w:vAlign w:val="center"/>
          </w:tcPr>
          <w:p w14:paraId="7B93E92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7"/>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9"/>
                <w:sz w:val="21"/>
                <w:szCs w:val="21"/>
              </w:rPr>
              <w:t>综合</w:t>
            </w:r>
            <w:r>
              <w:rPr>
                <w:rFonts w:hint="default" w:ascii="Times New Roman" w:hAnsi="Times New Roman" w:eastAsia="仿宋_GB2312" w:cs="Times New Roman"/>
                <w:sz w:val="21"/>
                <w:szCs w:val="21"/>
              </w:rPr>
              <w:t>保障</w:t>
            </w:r>
            <w:r>
              <w:rPr>
                <w:rFonts w:hint="default" w:ascii="Times New Roman" w:hAnsi="Times New Roman" w:eastAsia="仿宋_GB2312" w:cs="Times New Roman"/>
                <w:spacing w:val="-7"/>
                <w:sz w:val="21"/>
                <w:szCs w:val="21"/>
              </w:rPr>
              <w:t>（15</w:t>
            </w:r>
            <w:r>
              <w:rPr>
                <w:rFonts w:hint="default" w:ascii="Times New Roman" w:hAnsi="Times New Roman" w:eastAsia="仿宋_GB2312" w:cs="Times New Roman"/>
                <w:spacing w:val="-1"/>
                <w:sz w:val="21"/>
                <w:szCs w:val="21"/>
              </w:rPr>
              <w:t>分）</w:t>
            </w:r>
          </w:p>
        </w:tc>
        <w:tc>
          <w:tcPr>
            <w:tcW w:w="362" w:type="dxa"/>
            <w:noWrap w:val="0"/>
            <w:vAlign w:val="center"/>
          </w:tcPr>
          <w:p w14:paraId="6E8A214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6</w:t>
            </w:r>
          </w:p>
        </w:tc>
        <w:tc>
          <w:tcPr>
            <w:tcW w:w="588" w:type="dxa"/>
            <w:noWrap w:val="0"/>
            <w:vAlign w:val="center"/>
          </w:tcPr>
          <w:p w14:paraId="676A83E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73701A04">
            <w:pPr>
              <w:pStyle w:val="10"/>
              <w:keepNext w:val="0"/>
              <w:keepLines w:val="0"/>
              <w:pageBreakBefore w:val="0"/>
              <w:widowControl w:val="0"/>
              <w:kinsoku/>
              <w:wordWrap/>
              <w:overflowPunct/>
              <w:topLinePunct w:val="0"/>
              <w:autoSpaceDE/>
              <w:autoSpaceDN/>
              <w:bidi w:val="0"/>
              <w:adjustRightInd/>
              <w:snapToGrid/>
              <w:spacing w:line="300" w:lineRule="exact"/>
              <w:ind w:left="0" w:right="0" w:hanging="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7"/>
                <w:sz w:val="21"/>
                <w:szCs w:val="21"/>
              </w:rPr>
              <w:t>加强领导，统筹推动</w:t>
            </w:r>
            <w:r>
              <w:rPr>
                <w:rFonts w:hint="default" w:ascii="Times New Roman" w:hAnsi="Times New Roman" w:eastAsia="仿宋_GB2312" w:cs="Times New Roman"/>
                <w:spacing w:val="17"/>
                <w:sz w:val="21"/>
                <w:szCs w:val="21"/>
              </w:rPr>
              <w:t>网络市场监管与服</w:t>
            </w:r>
            <w:r>
              <w:rPr>
                <w:rFonts w:hint="default" w:ascii="Times New Roman" w:hAnsi="Times New Roman" w:eastAsia="仿宋_GB2312" w:cs="Times New Roman"/>
                <w:spacing w:val="-3"/>
                <w:sz w:val="21"/>
                <w:szCs w:val="21"/>
              </w:rPr>
              <w:t>务工作（2分）</w:t>
            </w:r>
          </w:p>
        </w:tc>
        <w:tc>
          <w:tcPr>
            <w:tcW w:w="5687" w:type="dxa"/>
            <w:noWrap w:val="0"/>
            <w:vAlign w:val="center"/>
          </w:tcPr>
          <w:p w14:paraId="5F84644A">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党委、政府重视，将网络市场监管与服务相关工作</w:t>
            </w:r>
            <w:r>
              <w:rPr>
                <w:rFonts w:hint="default" w:ascii="Times New Roman" w:hAnsi="Times New Roman" w:eastAsia="仿宋_GB2312" w:cs="Times New Roman"/>
                <w:spacing w:val="-8"/>
                <w:sz w:val="21"/>
                <w:szCs w:val="21"/>
              </w:rPr>
              <w:t>列入工作规划</w:t>
            </w:r>
            <w:r>
              <w:rPr>
                <w:rFonts w:hint="default" w:ascii="Times New Roman" w:hAnsi="Times New Roman" w:eastAsia="仿宋_GB2312" w:cs="Times New Roman"/>
                <w:spacing w:val="-2"/>
                <w:sz w:val="21"/>
                <w:szCs w:val="21"/>
              </w:rPr>
              <w:t>或者重点工作。（2分）</w:t>
            </w:r>
          </w:p>
        </w:tc>
        <w:tc>
          <w:tcPr>
            <w:tcW w:w="3888" w:type="dxa"/>
            <w:noWrap w:val="0"/>
            <w:vAlign w:val="center"/>
          </w:tcPr>
          <w:p w14:paraId="18D13996">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39F42A2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7DDF928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77C9D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19" w:hRule="atLeast"/>
        </w:trPr>
        <w:tc>
          <w:tcPr>
            <w:tcW w:w="1025" w:type="dxa"/>
            <w:vMerge w:val="continue"/>
            <w:tcBorders>
              <w:top w:val="nil"/>
              <w:left w:val="single" w:color="000000" w:sz="6" w:space="0"/>
              <w:bottom w:val="single" w:color="000000" w:sz="6" w:space="0"/>
            </w:tcBorders>
            <w:noWrap w:val="0"/>
            <w:vAlign w:val="center"/>
          </w:tcPr>
          <w:p w14:paraId="43F829D5">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61BC90C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7</w:t>
            </w:r>
          </w:p>
        </w:tc>
        <w:tc>
          <w:tcPr>
            <w:tcW w:w="588" w:type="dxa"/>
            <w:tcBorders>
              <w:bottom w:val="single" w:color="000000" w:sz="6" w:space="0"/>
            </w:tcBorders>
            <w:noWrap w:val="0"/>
            <w:vAlign w:val="center"/>
          </w:tcPr>
          <w:p w14:paraId="09266E8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tcBorders>
              <w:bottom w:val="single" w:color="000000" w:sz="6" w:space="0"/>
            </w:tcBorders>
            <w:noWrap w:val="0"/>
            <w:vAlign w:val="center"/>
          </w:tcPr>
          <w:p w14:paraId="7D8C1CB3">
            <w:pPr>
              <w:pStyle w:val="10"/>
              <w:keepNext w:val="0"/>
              <w:keepLines w:val="0"/>
              <w:pageBreakBefore w:val="0"/>
              <w:widowControl w:val="0"/>
              <w:kinsoku/>
              <w:wordWrap/>
              <w:overflowPunct/>
              <w:topLinePunct w:val="0"/>
              <w:autoSpaceDE/>
              <w:autoSpaceDN/>
              <w:bidi w:val="0"/>
              <w:adjustRightInd/>
              <w:snapToGrid/>
              <w:spacing w:line="300" w:lineRule="exact"/>
              <w:ind w:left="0" w:right="0" w:hanging="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5"/>
                <w:sz w:val="21"/>
                <w:szCs w:val="21"/>
              </w:rPr>
              <w:t>加强组织建设，完善</w:t>
            </w:r>
            <w:r>
              <w:rPr>
                <w:rFonts w:hint="default" w:ascii="Times New Roman" w:hAnsi="Times New Roman" w:eastAsia="仿宋_GB2312" w:cs="Times New Roman"/>
                <w:spacing w:val="8"/>
                <w:sz w:val="21"/>
                <w:szCs w:val="21"/>
              </w:rPr>
              <w:t>网络市场监管与服</w:t>
            </w:r>
            <w:r>
              <w:rPr>
                <w:rFonts w:hint="default" w:ascii="Times New Roman" w:hAnsi="Times New Roman" w:eastAsia="仿宋_GB2312" w:cs="Times New Roman"/>
                <w:spacing w:val="-23"/>
                <w:sz w:val="21"/>
                <w:szCs w:val="21"/>
              </w:rPr>
              <w:t>务机构保障（3分）</w:t>
            </w:r>
          </w:p>
        </w:tc>
        <w:tc>
          <w:tcPr>
            <w:tcW w:w="5687" w:type="dxa"/>
            <w:tcBorders>
              <w:bottom w:val="single" w:color="000000" w:sz="6" w:space="0"/>
            </w:tcBorders>
            <w:noWrap w:val="0"/>
            <w:vAlign w:val="center"/>
          </w:tcPr>
          <w:p w14:paraId="20ADEA7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1.建立网络交易监管部门联席会议机制并</w:t>
            </w:r>
            <w:r>
              <w:rPr>
                <w:rFonts w:hint="default" w:ascii="Times New Roman" w:hAnsi="Times New Roman" w:eastAsia="仿宋_GB2312" w:cs="Times New Roman"/>
                <w:spacing w:val="-2"/>
                <w:sz w:val="21"/>
                <w:szCs w:val="21"/>
              </w:rPr>
              <w:t>有效运行</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2"/>
                <w:sz w:val="21"/>
                <w:szCs w:val="21"/>
              </w:rPr>
              <w:t>1分）</w:t>
            </w:r>
            <w:r>
              <w:rPr>
                <w:rFonts w:hint="default" w:ascii="Times New Roman" w:hAnsi="Times New Roman" w:eastAsia="仿宋_GB2312" w:cs="Times New Roman"/>
                <w:spacing w:val="-1"/>
                <w:sz w:val="21"/>
                <w:szCs w:val="21"/>
              </w:rPr>
              <w:t>2.成立示范区创建工作领导机构并运行有效</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1"/>
                <w:sz w:val="21"/>
                <w:szCs w:val="21"/>
              </w:rPr>
              <w:t>1分）</w:t>
            </w:r>
          </w:p>
          <w:p w14:paraId="73878B80">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3.网络交易监管队伍健全。（1分）</w:t>
            </w:r>
          </w:p>
        </w:tc>
        <w:tc>
          <w:tcPr>
            <w:tcW w:w="3888" w:type="dxa"/>
            <w:tcBorders>
              <w:bottom w:val="single" w:color="000000" w:sz="6" w:space="0"/>
            </w:tcBorders>
            <w:noWrap w:val="0"/>
            <w:vAlign w:val="center"/>
          </w:tcPr>
          <w:p w14:paraId="621AD880">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20A67B15">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bottom w:val="single" w:color="000000" w:sz="6" w:space="0"/>
              <w:right w:val="single" w:color="000000" w:sz="6" w:space="0"/>
            </w:tcBorders>
            <w:noWrap w:val="0"/>
            <w:vAlign w:val="center"/>
          </w:tcPr>
          <w:p w14:paraId="63EC5376">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70F86F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2" w:hRule="atLeast"/>
        </w:trPr>
        <w:tc>
          <w:tcPr>
            <w:tcW w:w="1025" w:type="dxa"/>
            <w:tcBorders>
              <w:top w:val="single" w:color="000000" w:sz="6" w:space="0"/>
              <w:left w:val="single" w:color="000000" w:sz="6" w:space="0"/>
            </w:tcBorders>
            <w:noWrap w:val="0"/>
            <w:vAlign w:val="center"/>
          </w:tcPr>
          <w:p w14:paraId="49451F97">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一级指标</w:t>
            </w:r>
          </w:p>
        </w:tc>
        <w:tc>
          <w:tcPr>
            <w:tcW w:w="362" w:type="dxa"/>
            <w:tcBorders>
              <w:top w:val="single" w:color="000000" w:sz="6" w:space="0"/>
            </w:tcBorders>
            <w:noWrap w:val="0"/>
            <w:textDirection w:val="tbRlV"/>
            <w:vAlign w:val="center"/>
          </w:tcPr>
          <w:p w14:paraId="759F8FC2">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编号</w:t>
            </w:r>
          </w:p>
        </w:tc>
        <w:tc>
          <w:tcPr>
            <w:tcW w:w="588" w:type="dxa"/>
            <w:tcBorders>
              <w:top w:val="single" w:color="000000" w:sz="6" w:space="0"/>
            </w:tcBorders>
            <w:noWrap w:val="0"/>
            <w:vAlign w:val="center"/>
          </w:tcPr>
          <w:p w14:paraId="377539CB">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变量性质</w:t>
            </w:r>
          </w:p>
        </w:tc>
        <w:tc>
          <w:tcPr>
            <w:tcW w:w="1750" w:type="dxa"/>
            <w:tcBorders>
              <w:top w:val="single" w:color="000000" w:sz="6" w:space="0"/>
            </w:tcBorders>
            <w:noWrap w:val="0"/>
            <w:vAlign w:val="center"/>
          </w:tcPr>
          <w:p w14:paraId="0A3889B8">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三级指标</w:t>
            </w:r>
          </w:p>
        </w:tc>
        <w:tc>
          <w:tcPr>
            <w:tcW w:w="5687" w:type="dxa"/>
            <w:tcBorders>
              <w:top w:val="single" w:color="000000" w:sz="6" w:space="0"/>
            </w:tcBorders>
            <w:noWrap w:val="0"/>
            <w:vAlign w:val="center"/>
          </w:tcPr>
          <w:p w14:paraId="6D7BFD13">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指标说明及打分标准</w:t>
            </w:r>
          </w:p>
        </w:tc>
        <w:tc>
          <w:tcPr>
            <w:tcW w:w="3888" w:type="dxa"/>
            <w:tcBorders>
              <w:top w:val="single" w:color="000000" w:sz="6" w:space="0"/>
            </w:tcBorders>
            <w:noWrap w:val="0"/>
            <w:vAlign w:val="center"/>
          </w:tcPr>
          <w:p w14:paraId="5A5CEA51">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评估方式及数据或资料来源</w:t>
            </w:r>
          </w:p>
        </w:tc>
        <w:tc>
          <w:tcPr>
            <w:tcW w:w="1927" w:type="dxa"/>
            <w:tcBorders>
              <w:top w:val="single" w:color="000000" w:sz="6" w:space="0"/>
              <w:right w:val="single" w:color="000000" w:sz="6" w:space="0"/>
            </w:tcBorders>
            <w:noWrap w:val="0"/>
            <w:vAlign w:val="center"/>
          </w:tcPr>
          <w:p w14:paraId="7194388C">
            <w:pPr>
              <w:keepNext w:val="0"/>
              <w:keepLines w:val="0"/>
              <w:pageBreakBefore w:val="0"/>
              <w:widowControl w:val="0"/>
              <w:kinsoku/>
              <w:wordWrap/>
              <w:overflowPunct/>
              <w:topLinePunct w:val="0"/>
              <w:autoSpaceDE/>
              <w:autoSpaceDN/>
              <w:bidi w:val="0"/>
              <w:adjustRightInd/>
              <w:snapToGrid/>
              <w:spacing w:line="300" w:lineRule="exact"/>
              <w:jc w:val="center"/>
              <w:textAlignment w:val="auto"/>
              <w:outlineLvl w:val="9"/>
              <w:rPr>
                <w:rFonts w:hint="default" w:ascii="Times New Roman" w:hAnsi="Times New Roman" w:eastAsia="黑体" w:cs="黑体"/>
              </w:rPr>
            </w:pPr>
            <w:r>
              <w:rPr>
                <w:rFonts w:hint="default" w:ascii="Times New Roman" w:hAnsi="Times New Roman" w:eastAsia="黑体" w:cs="黑体"/>
              </w:rPr>
              <w:t>责任单位或数据材料提供单位</w:t>
            </w:r>
          </w:p>
        </w:tc>
      </w:tr>
      <w:tr w14:paraId="2FB7B4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1" w:hRule="atLeast"/>
        </w:trPr>
        <w:tc>
          <w:tcPr>
            <w:tcW w:w="1025" w:type="dxa"/>
            <w:vMerge w:val="restart"/>
            <w:tcBorders>
              <w:left w:val="single" w:color="000000" w:sz="6" w:space="0"/>
              <w:bottom w:val="nil"/>
            </w:tcBorders>
            <w:noWrap w:val="0"/>
            <w:vAlign w:val="center"/>
          </w:tcPr>
          <w:p w14:paraId="0BBF981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7"/>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9"/>
                <w:sz w:val="21"/>
                <w:szCs w:val="21"/>
              </w:rPr>
              <w:t>综合</w:t>
            </w:r>
            <w:r>
              <w:rPr>
                <w:rFonts w:hint="default" w:ascii="Times New Roman" w:hAnsi="Times New Roman" w:eastAsia="仿宋_GB2312" w:cs="Times New Roman"/>
                <w:sz w:val="21"/>
                <w:szCs w:val="21"/>
              </w:rPr>
              <w:t>保障</w:t>
            </w:r>
            <w:r>
              <w:rPr>
                <w:rFonts w:hint="default" w:ascii="Times New Roman" w:hAnsi="Times New Roman" w:eastAsia="仿宋_GB2312" w:cs="Times New Roman"/>
                <w:spacing w:val="-7"/>
                <w:sz w:val="21"/>
                <w:szCs w:val="21"/>
              </w:rPr>
              <w:t>（15</w:t>
            </w:r>
            <w:r>
              <w:rPr>
                <w:rFonts w:hint="default" w:ascii="Times New Roman" w:hAnsi="Times New Roman" w:eastAsia="仿宋_GB2312" w:cs="Times New Roman"/>
                <w:spacing w:val="-1"/>
                <w:sz w:val="21"/>
                <w:szCs w:val="21"/>
              </w:rPr>
              <w:t>分）</w:t>
            </w:r>
          </w:p>
        </w:tc>
        <w:tc>
          <w:tcPr>
            <w:tcW w:w="362" w:type="dxa"/>
            <w:noWrap w:val="0"/>
            <w:vAlign w:val="center"/>
          </w:tcPr>
          <w:p w14:paraId="0848536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8</w:t>
            </w:r>
          </w:p>
        </w:tc>
        <w:tc>
          <w:tcPr>
            <w:tcW w:w="588" w:type="dxa"/>
            <w:noWrap w:val="0"/>
            <w:vAlign w:val="center"/>
          </w:tcPr>
          <w:p w14:paraId="2434AF2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691B51A5">
            <w:pPr>
              <w:pStyle w:val="10"/>
              <w:keepNext w:val="0"/>
              <w:keepLines w:val="0"/>
              <w:pageBreakBefore w:val="0"/>
              <w:widowControl w:val="0"/>
              <w:kinsoku/>
              <w:wordWrap/>
              <w:overflowPunct/>
              <w:topLinePunct w:val="0"/>
              <w:autoSpaceDE/>
              <w:autoSpaceDN/>
              <w:bidi w:val="0"/>
              <w:adjustRightInd/>
              <w:snapToGrid/>
              <w:spacing w:line="300" w:lineRule="exact"/>
              <w:ind w:left="0" w:right="0" w:hanging="3"/>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建立工作机制，有力有序推进网络市场监管与服务工作（2分）</w:t>
            </w:r>
          </w:p>
        </w:tc>
        <w:tc>
          <w:tcPr>
            <w:tcW w:w="5687" w:type="dxa"/>
            <w:noWrap w:val="0"/>
            <w:vAlign w:val="center"/>
          </w:tcPr>
          <w:p w14:paraId="185276CA">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1.建立健全网络市场监管与服务相关工作机</w:t>
            </w:r>
            <w:r>
              <w:rPr>
                <w:rFonts w:hint="default" w:ascii="Times New Roman" w:hAnsi="Times New Roman" w:eastAsia="仿宋_GB2312" w:cs="Times New Roman"/>
                <w:spacing w:val="-2"/>
                <w:sz w:val="21"/>
                <w:szCs w:val="21"/>
              </w:rPr>
              <w:t>制</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2"/>
                <w:sz w:val="21"/>
                <w:szCs w:val="21"/>
              </w:rPr>
              <w:t>1分）</w:t>
            </w:r>
          </w:p>
          <w:p w14:paraId="4790D46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7"/>
                <w:sz w:val="21"/>
                <w:szCs w:val="21"/>
              </w:rPr>
              <w:t>2.建立健全网络市场监管与服务相关工作实施方案，明确工作目标、主要任务、工作举措、责任单位、进度安</w:t>
            </w:r>
            <w:r>
              <w:rPr>
                <w:rFonts w:hint="default" w:ascii="Times New Roman" w:hAnsi="Times New Roman" w:eastAsia="仿宋_GB2312" w:cs="Times New Roman"/>
                <w:spacing w:val="-8"/>
                <w:sz w:val="21"/>
                <w:szCs w:val="21"/>
              </w:rPr>
              <w:t>排等内容，并按要</w:t>
            </w:r>
            <w:r>
              <w:rPr>
                <w:rFonts w:hint="default" w:ascii="Times New Roman" w:hAnsi="Times New Roman" w:eastAsia="仿宋_GB2312" w:cs="Times New Roman"/>
                <w:spacing w:val="-2"/>
                <w:sz w:val="21"/>
                <w:szCs w:val="21"/>
              </w:rPr>
              <w:t>求进行考评。（1分）</w:t>
            </w:r>
          </w:p>
        </w:tc>
        <w:tc>
          <w:tcPr>
            <w:tcW w:w="3888" w:type="dxa"/>
            <w:noWrap w:val="0"/>
            <w:vAlign w:val="center"/>
          </w:tcPr>
          <w:p w14:paraId="1A5F946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15C1DED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0A9493B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6EFAF7A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1" w:hRule="atLeast"/>
        </w:trPr>
        <w:tc>
          <w:tcPr>
            <w:tcW w:w="1025" w:type="dxa"/>
            <w:vMerge w:val="continue"/>
            <w:tcBorders>
              <w:top w:val="nil"/>
              <w:left w:val="single" w:color="000000" w:sz="6" w:space="0"/>
              <w:bottom w:val="nil"/>
            </w:tcBorders>
            <w:noWrap w:val="0"/>
            <w:vAlign w:val="center"/>
          </w:tcPr>
          <w:p w14:paraId="526850C2">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23EF7DF7">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6"/>
                <w:sz w:val="21"/>
                <w:szCs w:val="21"/>
              </w:rPr>
              <w:t>3</w:t>
            </w:r>
            <w:r>
              <w:rPr>
                <w:rFonts w:hint="default" w:ascii="Times New Roman" w:hAnsi="Times New Roman" w:eastAsia="仿宋_GB2312" w:cs="Times New Roman"/>
                <w:spacing w:val="-6"/>
                <w:sz w:val="21"/>
                <w:szCs w:val="21"/>
                <w:lang w:val="en-US" w:eastAsia="zh-CN"/>
              </w:rPr>
              <w:t>9</w:t>
            </w:r>
          </w:p>
        </w:tc>
        <w:tc>
          <w:tcPr>
            <w:tcW w:w="588" w:type="dxa"/>
            <w:noWrap w:val="0"/>
            <w:vAlign w:val="center"/>
          </w:tcPr>
          <w:p w14:paraId="0B0148E2">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6"/>
                <w:sz w:val="21"/>
                <w:szCs w:val="21"/>
              </w:rPr>
              <w:t>定量</w:t>
            </w:r>
            <w:r>
              <w:rPr>
                <w:rFonts w:hint="default" w:ascii="Times New Roman" w:hAnsi="Times New Roman" w:eastAsia="仿宋_GB2312" w:cs="Times New Roman"/>
                <w:spacing w:val="-22"/>
                <w:w w:val="91"/>
                <w:sz w:val="21"/>
                <w:szCs w:val="21"/>
              </w:rPr>
              <w:t>+定性</w:t>
            </w:r>
          </w:p>
        </w:tc>
        <w:tc>
          <w:tcPr>
            <w:tcW w:w="1750" w:type="dxa"/>
            <w:noWrap w:val="0"/>
            <w:vAlign w:val="center"/>
          </w:tcPr>
          <w:p w14:paraId="19F793C6">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加强队伍建设和人才培训，建立高素质专业化网络市场监管与服务队伍（2分）</w:t>
            </w:r>
          </w:p>
        </w:tc>
        <w:tc>
          <w:tcPr>
            <w:tcW w:w="5687" w:type="dxa"/>
            <w:noWrap w:val="0"/>
            <w:vAlign w:val="center"/>
          </w:tcPr>
          <w:p w14:paraId="04B8B03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1.加大网络市场监管与服务专业力量建设，提高队伍专业化水</w:t>
            </w:r>
            <w:r>
              <w:rPr>
                <w:rFonts w:hint="default" w:ascii="Times New Roman" w:hAnsi="Times New Roman" w:eastAsia="仿宋_GB2312" w:cs="Times New Roman"/>
                <w:spacing w:val="-3"/>
                <w:sz w:val="21"/>
                <w:szCs w:val="21"/>
              </w:rPr>
              <w:t>平；（1分）</w:t>
            </w:r>
          </w:p>
          <w:p w14:paraId="76735851">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8"/>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2.加强人才培训，网络交易监管人员业务培</w:t>
            </w:r>
            <w:r>
              <w:rPr>
                <w:rFonts w:hint="default" w:ascii="Times New Roman" w:hAnsi="Times New Roman" w:eastAsia="仿宋_GB2312" w:cs="Times New Roman"/>
                <w:spacing w:val="-4"/>
                <w:sz w:val="21"/>
                <w:szCs w:val="21"/>
              </w:rPr>
              <w:t>训覆盖率达到100%，每人每年培训时间不低于50学时。（1分）</w:t>
            </w:r>
          </w:p>
        </w:tc>
        <w:tc>
          <w:tcPr>
            <w:tcW w:w="3888" w:type="dxa"/>
            <w:noWrap w:val="0"/>
            <w:vAlign w:val="center"/>
          </w:tcPr>
          <w:p w14:paraId="2DD37E49">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72307349">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11"/>
                <w:sz w:val="21"/>
                <w:szCs w:val="21"/>
              </w:rPr>
              <w:t>1.</w:t>
            </w:r>
            <w:r>
              <w:rPr>
                <w:rFonts w:hint="default" w:ascii="Times New Roman" w:hAnsi="Times New Roman" w:eastAsia="仿宋_GB2312" w:cs="Times New Roman"/>
                <w:spacing w:val="-11"/>
                <w:sz w:val="21"/>
                <w:szCs w:val="21"/>
                <w:lang w:eastAsia="zh-CN"/>
              </w:rPr>
              <w:t>省</w:t>
            </w:r>
            <w:r>
              <w:rPr>
                <w:rFonts w:hint="default" w:ascii="Times New Roman" w:hAnsi="Times New Roman" w:eastAsia="仿宋_GB2312" w:cs="Times New Roman"/>
                <w:spacing w:val="-11"/>
                <w:sz w:val="21"/>
                <w:szCs w:val="21"/>
              </w:rPr>
              <w:t>网络交易监管平台；2.创建对象提供。</w:t>
            </w:r>
          </w:p>
        </w:tc>
        <w:tc>
          <w:tcPr>
            <w:tcW w:w="1927" w:type="dxa"/>
            <w:tcBorders>
              <w:right w:val="single" w:color="000000" w:sz="6" w:space="0"/>
            </w:tcBorders>
            <w:noWrap w:val="0"/>
            <w:vAlign w:val="center"/>
          </w:tcPr>
          <w:p w14:paraId="66064310">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2A74BF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0" w:hRule="atLeast"/>
        </w:trPr>
        <w:tc>
          <w:tcPr>
            <w:tcW w:w="1025" w:type="dxa"/>
            <w:vMerge w:val="continue"/>
            <w:tcBorders>
              <w:top w:val="nil"/>
              <w:left w:val="single" w:color="000000" w:sz="6" w:space="0"/>
              <w:bottom w:val="nil"/>
            </w:tcBorders>
            <w:noWrap w:val="0"/>
            <w:vAlign w:val="center"/>
          </w:tcPr>
          <w:p w14:paraId="71CEA9A3">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6C27A89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val="en-US" w:eastAsia="zh-CN"/>
              </w:rPr>
            </w:pPr>
            <w:r>
              <w:rPr>
                <w:rFonts w:hint="default" w:ascii="Times New Roman" w:hAnsi="Times New Roman" w:eastAsia="仿宋_GB2312" w:cs="Times New Roman"/>
                <w:spacing w:val="-6"/>
                <w:sz w:val="21"/>
                <w:szCs w:val="21"/>
                <w:lang w:val="en-US" w:eastAsia="zh-CN"/>
              </w:rPr>
              <w:t>40</w:t>
            </w:r>
          </w:p>
        </w:tc>
        <w:tc>
          <w:tcPr>
            <w:tcW w:w="588" w:type="dxa"/>
            <w:noWrap w:val="0"/>
            <w:vAlign w:val="center"/>
          </w:tcPr>
          <w:p w14:paraId="436211EF">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6F6891E3">
            <w:pPr>
              <w:pStyle w:val="10"/>
              <w:keepNext w:val="0"/>
              <w:keepLines w:val="0"/>
              <w:pageBreakBefore w:val="0"/>
              <w:widowControl w:val="0"/>
              <w:kinsoku/>
              <w:wordWrap/>
              <w:overflowPunct/>
              <w:topLinePunct w:val="0"/>
              <w:autoSpaceDE/>
              <w:autoSpaceDN/>
              <w:bidi w:val="0"/>
              <w:adjustRightInd/>
              <w:snapToGrid/>
              <w:spacing w:line="300" w:lineRule="exact"/>
              <w:ind w:left="0" w:right="0" w:hanging="1"/>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加大投入，完善网络市场监管与服务财政和物资保障（2分）</w:t>
            </w:r>
          </w:p>
        </w:tc>
        <w:tc>
          <w:tcPr>
            <w:tcW w:w="5687" w:type="dxa"/>
            <w:noWrap w:val="0"/>
            <w:vAlign w:val="center"/>
          </w:tcPr>
          <w:p w14:paraId="50BF0C76">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1"/>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4"/>
                <w:sz w:val="21"/>
                <w:szCs w:val="21"/>
              </w:rPr>
              <w:t>1.加大财政投入，网络市场监管与服务经费列</w:t>
            </w:r>
            <w:r>
              <w:rPr>
                <w:rFonts w:hint="default" w:ascii="Times New Roman" w:hAnsi="Times New Roman" w:eastAsia="仿宋_GB2312" w:cs="Times New Roman"/>
                <w:spacing w:val="-5"/>
                <w:sz w:val="21"/>
                <w:szCs w:val="21"/>
              </w:rPr>
              <w:t>入本级预算</w:t>
            </w:r>
            <w:r>
              <w:rPr>
                <w:rFonts w:hint="default" w:ascii="Times New Roman" w:hAnsi="Times New Roman" w:eastAsia="仿宋_GB2312" w:cs="Times New Roman"/>
                <w:spacing w:val="-12"/>
                <w:sz w:val="21"/>
                <w:szCs w:val="21"/>
              </w:rPr>
              <w:t>；（</w:t>
            </w:r>
            <w:r>
              <w:rPr>
                <w:rFonts w:hint="default" w:ascii="Times New Roman" w:hAnsi="Times New Roman" w:eastAsia="仿宋_GB2312" w:cs="Times New Roman"/>
                <w:spacing w:val="-5"/>
                <w:sz w:val="21"/>
                <w:szCs w:val="21"/>
              </w:rPr>
              <w:t>1</w:t>
            </w:r>
            <w:r>
              <w:rPr>
                <w:rFonts w:hint="default" w:ascii="Times New Roman" w:hAnsi="Times New Roman" w:eastAsia="仿宋_GB2312" w:cs="Times New Roman"/>
                <w:spacing w:val="-3"/>
                <w:sz w:val="21"/>
                <w:szCs w:val="21"/>
              </w:rPr>
              <w:t>分）</w:t>
            </w:r>
          </w:p>
          <w:p w14:paraId="33BC8551">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6"/>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1"/>
                <w:sz w:val="21"/>
                <w:szCs w:val="21"/>
              </w:rPr>
              <w:t>2.强化网络市场监管与服务专业设备、设施配备，提供物</w:t>
            </w:r>
            <w:r>
              <w:rPr>
                <w:rFonts w:hint="default" w:ascii="Times New Roman" w:hAnsi="Times New Roman" w:eastAsia="仿宋_GB2312" w:cs="Times New Roman"/>
                <w:spacing w:val="-12"/>
                <w:sz w:val="21"/>
                <w:szCs w:val="21"/>
              </w:rPr>
              <w:t>资保障。</w:t>
            </w:r>
            <w:r>
              <w:rPr>
                <w:rFonts w:hint="default" w:ascii="Times New Roman" w:hAnsi="Times New Roman" w:eastAsia="仿宋_GB2312" w:cs="Times New Roman"/>
                <w:spacing w:val="-9"/>
                <w:sz w:val="21"/>
                <w:szCs w:val="21"/>
              </w:rPr>
              <w:t>（1分）</w:t>
            </w:r>
          </w:p>
        </w:tc>
        <w:tc>
          <w:tcPr>
            <w:tcW w:w="3888" w:type="dxa"/>
            <w:noWrap w:val="0"/>
            <w:vAlign w:val="center"/>
          </w:tcPr>
          <w:p w14:paraId="7647E39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2FF9125D">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6ECA37B3">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731F3D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51" w:hRule="atLeast"/>
        </w:trPr>
        <w:tc>
          <w:tcPr>
            <w:tcW w:w="1025" w:type="dxa"/>
            <w:vMerge w:val="continue"/>
            <w:tcBorders>
              <w:top w:val="nil"/>
              <w:left w:val="single" w:color="000000" w:sz="6" w:space="0"/>
              <w:bottom w:val="nil"/>
            </w:tcBorders>
            <w:noWrap w:val="0"/>
            <w:vAlign w:val="center"/>
          </w:tcPr>
          <w:p w14:paraId="1A1913E1">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noWrap w:val="0"/>
            <w:vAlign w:val="center"/>
          </w:tcPr>
          <w:p w14:paraId="5290A1CE">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4"/>
                <w:sz w:val="21"/>
                <w:szCs w:val="21"/>
              </w:rPr>
              <w:t>4</w:t>
            </w:r>
            <w:r>
              <w:rPr>
                <w:rFonts w:hint="default" w:ascii="Times New Roman" w:hAnsi="Times New Roman" w:eastAsia="仿宋_GB2312" w:cs="Times New Roman"/>
                <w:spacing w:val="-4"/>
                <w:sz w:val="21"/>
                <w:szCs w:val="21"/>
                <w:lang w:val="en-US" w:eastAsia="zh-CN"/>
              </w:rPr>
              <w:t>1</w:t>
            </w:r>
          </w:p>
        </w:tc>
        <w:tc>
          <w:tcPr>
            <w:tcW w:w="588" w:type="dxa"/>
            <w:noWrap w:val="0"/>
            <w:vAlign w:val="center"/>
          </w:tcPr>
          <w:p w14:paraId="7B79DAA1">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noWrap w:val="0"/>
            <w:vAlign w:val="center"/>
          </w:tcPr>
          <w:p w14:paraId="3019BD55">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21"/>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强化信息基础支撑，完善网络市场监管与服务信息化保障（2分）</w:t>
            </w:r>
          </w:p>
        </w:tc>
        <w:tc>
          <w:tcPr>
            <w:tcW w:w="5687" w:type="dxa"/>
            <w:noWrap w:val="0"/>
            <w:vAlign w:val="center"/>
          </w:tcPr>
          <w:p w14:paraId="7DF39B69">
            <w:pPr>
              <w:pStyle w:val="10"/>
              <w:keepNext w:val="0"/>
              <w:keepLines w:val="0"/>
              <w:pageBreakBefore w:val="0"/>
              <w:widowControl w:val="0"/>
              <w:kinsoku/>
              <w:wordWrap/>
              <w:overflowPunct/>
              <w:topLinePunct w:val="0"/>
              <w:autoSpaceDE/>
              <w:autoSpaceDN/>
              <w:bidi w:val="0"/>
              <w:adjustRightInd/>
              <w:snapToGrid/>
              <w:spacing w:line="300" w:lineRule="exact"/>
              <w:ind w:left="0" w:right="0" w:hanging="4"/>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1.充分运用</w:t>
            </w:r>
            <w:r>
              <w:rPr>
                <w:rFonts w:hint="default" w:ascii="Times New Roman" w:hAnsi="Times New Roman" w:eastAsia="仿宋_GB2312" w:cs="Times New Roman"/>
                <w:spacing w:val="5"/>
                <w:sz w:val="21"/>
                <w:szCs w:val="21"/>
                <w:lang w:eastAsia="zh-CN"/>
              </w:rPr>
              <w:t>省</w:t>
            </w:r>
            <w:r>
              <w:rPr>
                <w:rFonts w:hint="default" w:ascii="Times New Roman" w:hAnsi="Times New Roman" w:eastAsia="仿宋_GB2312" w:cs="Times New Roman"/>
                <w:spacing w:val="5"/>
                <w:sz w:val="21"/>
                <w:szCs w:val="21"/>
              </w:rPr>
              <w:t>网络交易监管平台等</w:t>
            </w:r>
            <w:r>
              <w:rPr>
                <w:rFonts w:hint="default" w:ascii="Times New Roman" w:hAnsi="Times New Roman" w:eastAsia="仿宋_GB2312" w:cs="Times New Roman"/>
                <w:spacing w:val="5"/>
                <w:sz w:val="21"/>
                <w:szCs w:val="21"/>
                <w:lang w:eastAsia="zh-CN"/>
              </w:rPr>
              <w:t>省</w:t>
            </w:r>
            <w:r>
              <w:rPr>
                <w:rFonts w:hint="default" w:ascii="Times New Roman" w:hAnsi="Times New Roman" w:eastAsia="仿宋_GB2312" w:cs="Times New Roman"/>
                <w:spacing w:val="5"/>
                <w:sz w:val="21"/>
                <w:szCs w:val="21"/>
              </w:rPr>
              <w:t>或者省级政府已建成</w:t>
            </w:r>
            <w:r>
              <w:rPr>
                <w:rFonts w:hint="default" w:ascii="Times New Roman" w:hAnsi="Times New Roman" w:eastAsia="仿宋_GB2312" w:cs="Times New Roman"/>
                <w:spacing w:val="-2"/>
                <w:sz w:val="21"/>
                <w:szCs w:val="21"/>
              </w:rPr>
              <w:t>的信息化系统开展网络市场监管与服务工作</w:t>
            </w:r>
            <w:r>
              <w:rPr>
                <w:rFonts w:hint="default" w:ascii="Times New Roman" w:hAnsi="Times New Roman" w:eastAsia="仿宋_GB2312" w:cs="Times New Roman"/>
                <w:spacing w:val="5"/>
                <w:sz w:val="21"/>
                <w:szCs w:val="21"/>
              </w:rPr>
              <w:t>；（</w:t>
            </w:r>
            <w:r>
              <w:rPr>
                <w:rFonts w:hint="default" w:ascii="Times New Roman" w:hAnsi="Times New Roman" w:eastAsia="仿宋_GB2312" w:cs="Times New Roman"/>
                <w:spacing w:val="-2"/>
                <w:sz w:val="21"/>
                <w:szCs w:val="21"/>
              </w:rPr>
              <w:t>1分）</w:t>
            </w:r>
          </w:p>
          <w:p w14:paraId="06100EF7">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5"/>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5"/>
                <w:sz w:val="21"/>
                <w:szCs w:val="21"/>
              </w:rPr>
              <w:t>2.建立健全符合地方实际的网络市场监管与服务信息化保障工</w:t>
            </w:r>
            <w:r>
              <w:rPr>
                <w:rFonts w:hint="default" w:ascii="Times New Roman" w:hAnsi="Times New Roman" w:eastAsia="仿宋_GB2312" w:cs="Times New Roman"/>
                <w:spacing w:val="-2"/>
                <w:sz w:val="21"/>
                <w:szCs w:val="21"/>
              </w:rPr>
              <w:t>作机制，并运行良好。（1分）</w:t>
            </w:r>
          </w:p>
        </w:tc>
        <w:tc>
          <w:tcPr>
            <w:tcW w:w="3888" w:type="dxa"/>
            <w:noWrap w:val="0"/>
            <w:vAlign w:val="center"/>
          </w:tcPr>
          <w:p w14:paraId="66D9EA7E">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4880A5E1">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right w:val="single" w:color="000000" w:sz="6" w:space="0"/>
            </w:tcBorders>
            <w:noWrap w:val="0"/>
            <w:vAlign w:val="center"/>
          </w:tcPr>
          <w:p w14:paraId="6C5A27AB">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r w14:paraId="20C635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54" w:hRule="atLeast"/>
        </w:trPr>
        <w:tc>
          <w:tcPr>
            <w:tcW w:w="1025" w:type="dxa"/>
            <w:vMerge w:val="continue"/>
            <w:tcBorders>
              <w:top w:val="nil"/>
              <w:left w:val="single" w:color="000000" w:sz="6" w:space="0"/>
              <w:bottom w:val="single" w:color="000000" w:sz="6" w:space="0"/>
            </w:tcBorders>
            <w:noWrap w:val="0"/>
            <w:vAlign w:val="center"/>
          </w:tcPr>
          <w:p w14:paraId="4C691180">
            <w:pPr>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rPr>
            </w:pPr>
          </w:p>
        </w:tc>
        <w:tc>
          <w:tcPr>
            <w:tcW w:w="362" w:type="dxa"/>
            <w:tcBorders>
              <w:bottom w:val="single" w:color="000000" w:sz="6" w:space="0"/>
            </w:tcBorders>
            <w:noWrap w:val="0"/>
            <w:vAlign w:val="center"/>
          </w:tcPr>
          <w:p w14:paraId="48E7C142">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lang w:eastAsia="zh-CN"/>
              </w:rPr>
            </w:pPr>
            <w:r>
              <w:rPr>
                <w:rFonts w:hint="default" w:ascii="Times New Roman" w:hAnsi="Times New Roman" w:eastAsia="仿宋_GB2312" w:cs="Times New Roman"/>
                <w:spacing w:val="-4"/>
                <w:sz w:val="21"/>
                <w:szCs w:val="21"/>
              </w:rPr>
              <w:t>4</w:t>
            </w:r>
            <w:r>
              <w:rPr>
                <w:rFonts w:hint="default" w:ascii="Times New Roman" w:hAnsi="Times New Roman" w:eastAsia="仿宋_GB2312" w:cs="Times New Roman"/>
                <w:spacing w:val="-4"/>
                <w:sz w:val="21"/>
                <w:szCs w:val="21"/>
                <w:lang w:val="en-US" w:eastAsia="zh-CN"/>
              </w:rPr>
              <w:t>2</w:t>
            </w:r>
          </w:p>
        </w:tc>
        <w:tc>
          <w:tcPr>
            <w:tcW w:w="588" w:type="dxa"/>
            <w:tcBorders>
              <w:bottom w:val="single" w:color="000000" w:sz="6" w:space="0"/>
            </w:tcBorders>
            <w:noWrap w:val="0"/>
            <w:vAlign w:val="center"/>
          </w:tcPr>
          <w:p w14:paraId="417B7C2A">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3"/>
                <w:sz w:val="21"/>
                <w:szCs w:val="21"/>
              </w:rPr>
              <w:t>定性</w:t>
            </w:r>
          </w:p>
        </w:tc>
        <w:tc>
          <w:tcPr>
            <w:tcW w:w="1750" w:type="dxa"/>
            <w:tcBorders>
              <w:bottom w:val="single" w:color="000000" w:sz="6" w:space="0"/>
            </w:tcBorders>
            <w:noWrap w:val="0"/>
            <w:vAlign w:val="center"/>
          </w:tcPr>
          <w:p w14:paraId="57857FED">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11"/>
              <w:jc w:val="left"/>
              <w:textAlignment w:val="auto"/>
              <w:outlineLvl w:val="9"/>
              <w:rPr>
                <w:rFonts w:hint="default" w:ascii="Times New Roman" w:hAnsi="Times New Roman" w:eastAsia="仿宋_GB2312" w:cs="Times New Roman"/>
                <w:spacing w:val="0"/>
                <w:sz w:val="21"/>
                <w:szCs w:val="21"/>
              </w:rPr>
            </w:pPr>
            <w:r>
              <w:rPr>
                <w:rFonts w:hint="default" w:ascii="Times New Roman" w:hAnsi="Times New Roman" w:eastAsia="仿宋_GB2312" w:cs="Times New Roman"/>
                <w:spacing w:val="0"/>
                <w:sz w:val="21"/>
                <w:szCs w:val="21"/>
              </w:rPr>
              <w:t>强化普法、宣传，营造良好社会氛围（2分）</w:t>
            </w:r>
          </w:p>
        </w:tc>
        <w:tc>
          <w:tcPr>
            <w:tcW w:w="5687" w:type="dxa"/>
            <w:tcBorders>
              <w:bottom w:val="single" w:color="000000" w:sz="6" w:space="0"/>
            </w:tcBorders>
            <w:noWrap w:val="0"/>
            <w:vAlign w:val="center"/>
          </w:tcPr>
          <w:p w14:paraId="56D144E3">
            <w:pPr>
              <w:pStyle w:val="10"/>
              <w:keepNext w:val="0"/>
              <w:keepLines w:val="0"/>
              <w:pageBreakBefore w:val="0"/>
              <w:widowControl w:val="0"/>
              <w:kinsoku/>
              <w:wordWrap/>
              <w:overflowPunct/>
              <w:topLinePunct w:val="0"/>
              <w:autoSpaceDE/>
              <w:autoSpaceDN/>
              <w:bidi w:val="0"/>
              <w:adjustRightInd/>
              <w:snapToGrid/>
              <w:spacing w:line="300" w:lineRule="exact"/>
              <w:ind w:left="0" w:right="0"/>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1.多形式多举措开展网络市场监管与服务普法活动</w:t>
            </w:r>
            <w:r>
              <w:rPr>
                <w:rFonts w:hint="default" w:ascii="Times New Roman" w:hAnsi="Times New Roman" w:eastAsia="仿宋_GB2312" w:cs="Times New Roman"/>
                <w:sz w:val="21"/>
                <w:szCs w:val="21"/>
              </w:rPr>
              <w:t>；（</w:t>
            </w:r>
            <w:r>
              <w:rPr>
                <w:rFonts w:hint="default" w:ascii="Times New Roman" w:hAnsi="Times New Roman" w:eastAsia="仿宋_GB2312" w:cs="Times New Roman"/>
                <w:spacing w:val="-1"/>
                <w:sz w:val="21"/>
                <w:szCs w:val="21"/>
              </w:rPr>
              <w:t>1</w:t>
            </w:r>
            <w:r>
              <w:rPr>
                <w:rFonts w:hint="default" w:ascii="Times New Roman" w:hAnsi="Times New Roman" w:eastAsia="仿宋_GB2312" w:cs="Times New Roman"/>
                <w:spacing w:val="-2"/>
                <w:sz w:val="21"/>
                <w:szCs w:val="21"/>
              </w:rPr>
              <w:t>分）</w:t>
            </w:r>
          </w:p>
          <w:p w14:paraId="5A557979">
            <w:pPr>
              <w:pStyle w:val="10"/>
              <w:keepNext w:val="0"/>
              <w:keepLines w:val="0"/>
              <w:pageBreakBefore w:val="0"/>
              <w:widowControl w:val="0"/>
              <w:kinsoku/>
              <w:wordWrap/>
              <w:overflowPunct/>
              <w:topLinePunct w:val="0"/>
              <w:autoSpaceDE/>
              <w:autoSpaceDN/>
              <w:bidi w:val="0"/>
              <w:adjustRightInd/>
              <w:snapToGrid/>
              <w:spacing w:line="300" w:lineRule="exact"/>
              <w:ind w:left="0" w:right="0" w:firstLine="9"/>
              <w:jc w:val="left"/>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2"/>
                <w:sz w:val="21"/>
                <w:szCs w:val="21"/>
              </w:rPr>
              <w:t>2.多形式多举措宣传报道网络市场监管与服务工作举措、工作成果、典型经验。（1分）</w:t>
            </w:r>
          </w:p>
        </w:tc>
        <w:tc>
          <w:tcPr>
            <w:tcW w:w="3888" w:type="dxa"/>
            <w:tcBorders>
              <w:bottom w:val="single" w:color="000000" w:sz="6" w:space="0"/>
            </w:tcBorders>
            <w:noWrap w:val="0"/>
            <w:vAlign w:val="center"/>
          </w:tcPr>
          <w:p w14:paraId="5E0AE48D">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eastAsia" w:ascii="Times New Roman" w:hAnsi="Times New Roman" w:eastAsia="仿宋_GB2312" w:cs="Times New Roman"/>
                <w:spacing w:val="-5"/>
                <w:sz w:val="21"/>
                <w:szCs w:val="21"/>
                <w:lang w:eastAsia="zh-CN"/>
              </w:rPr>
            </w:pPr>
            <w:r>
              <w:rPr>
                <w:rFonts w:hint="default" w:ascii="Times New Roman" w:hAnsi="Times New Roman" w:eastAsia="仿宋_GB2312" w:cs="Times New Roman"/>
                <w:spacing w:val="-5"/>
                <w:sz w:val="21"/>
                <w:szCs w:val="21"/>
              </w:rPr>
              <w:t>方式：资料审查、专家评估。</w:t>
            </w:r>
          </w:p>
          <w:p w14:paraId="4818F252">
            <w:pPr>
              <w:pStyle w:val="10"/>
              <w:keepNext w:val="0"/>
              <w:keepLines w:val="0"/>
              <w:pageBreakBefore w:val="0"/>
              <w:widowControl w:val="0"/>
              <w:kinsoku/>
              <w:wordWrap/>
              <w:overflowPunct/>
              <w:topLinePunct w:val="0"/>
              <w:autoSpaceDE/>
              <w:autoSpaceDN/>
              <w:bidi w:val="0"/>
              <w:adjustRightInd/>
              <w:snapToGrid/>
              <w:spacing w:line="300" w:lineRule="exact"/>
              <w:ind w:left="0" w:right="0" w:hanging="2"/>
              <w:jc w:val="center"/>
              <w:textAlignment w:val="auto"/>
              <w:outlineLvl w:val="9"/>
              <w:rPr>
                <w:rFonts w:hint="default" w:ascii="Times New Roman" w:hAnsi="Times New Roman" w:eastAsia="仿宋_GB2312" w:cs="Times New Roman"/>
                <w:sz w:val="21"/>
                <w:szCs w:val="21"/>
              </w:rPr>
            </w:pPr>
            <w:r>
              <w:rPr>
                <w:rFonts w:hint="eastAsia" w:ascii="Times New Roman" w:hAnsi="Times New Roman" w:eastAsia="仿宋_GB2312" w:cs="Times New Roman"/>
                <w:spacing w:val="-8"/>
                <w:sz w:val="21"/>
                <w:szCs w:val="21"/>
                <w:lang w:eastAsia="zh-CN"/>
              </w:rPr>
              <w:t>来源：</w:t>
            </w:r>
            <w:r>
              <w:rPr>
                <w:rFonts w:hint="default" w:ascii="Times New Roman" w:hAnsi="Times New Roman" w:eastAsia="仿宋_GB2312" w:cs="Times New Roman"/>
                <w:spacing w:val="-6"/>
                <w:sz w:val="21"/>
                <w:szCs w:val="21"/>
              </w:rPr>
              <w:t>创建对象提供。</w:t>
            </w:r>
          </w:p>
        </w:tc>
        <w:tc>
          <w:tcPr>
            <w:tcW w:w="1927" w:type="dxa"/>
            <w:tcBorders>
              <w:bottom w:val="single" w:color="000000" w:sz="6" w:space="0"/>
              <w:right w:val="single" w:color="000000" w:sz="6" w:space="0"/>
            </w:tcBorders>
            <w:noWrap w:val="0"/>
            <w:vAlign w:val="center"/>
          </w:tcPr>
          <w:p w14:paraId="2C3AE019">
            <w:pPr>
              <w:pStyle w:val="10"/>
              <w:keepNext w:val="0"/>
              <w:keepLines w:val="0"/>
              <w:pageBreakBefore w:val="0"/>
              <w:widowControl w:val="0"/>
              <w:kinsoku/>
              <w:wordWrap/>
              <w:overflowPunct/>
              <w:topLinePunct w:val="0"/>
              <w:autoSpaceDE/>
              <w:autoSpaceDN/>
              <w:bidi w:val="0"/>
              <w:adjustRightInd/>
              <w:snapToGrid/>
              <w:spacing w:line="300" w:lineRule="exact"/>
              <w:ind w:left="0" w:right="0"/>
              <w:jc w:val="center"/>
              <w:textAlignment w:val="auto"/>
              <w:outlineLvl w:val="9"/>
              <w:rPr>
                <w:rFonts w:hint="default" w:ascii="Times New Roman" w:hAnsi="Times New Roman" w:eastAsia="仿宋_GB2312" w:cs="Times New Roman"/>
                <w:sz w:val="21"/>
                <w:szCs w:val="21"/>
              </w:rPr>
            </w:pPr>
            <w:r>
              <w:rPr>
                <w:rFonts w:hint="default" w:ascii="Times New Roman" w:hAnsi="Times New Roman" w:eastAsia="仿宋_GB2312" w:cs="Times New Roman"/>
                <w:spacing w:val="-1"/>
                <w:sz w:val="21"/>
                <w:szCs w:val="21"/>
              </w:rPr>
              <w:t>领导小组成员单位</w:t>
            </w:r>
          </w:p>
        </w:tc>
      </w:tr>
    </w:tbl>
    <w:p w14:paraId="38197A24">
      <w:pPr>
        <w:pStyle w:val="3"/>
        <w:spacing w:before="109" w:line="216" w:lineRule="auto"/>
        <w:ind w:left="1289"/>
        <w:rPr>
          <w:rFonts w:hint="default" w:ascii="Times New Roman" w:hAnsi="Times New Roman" w:eastAsia="黑体" w:cs="Times New Roman"/>
          <w:w w:val="93"/>
          <w:sz w:val="32"/>
          <w:szCs w:val="32"/>
          <w:lang w:eastAsia="zh-CN"/>
        </w:rPr>
        <w:sectPr>
          <w:footerReference r:id="rId4" w:type="first"/>
          <w:footerReference r:id="rId3" w:type="default"/>
          <w:pgSz w:w="16838" w:h="11906" w:orient="landscape"/>
          <w:pgMar w:top="1587" w:right="2098" w:bottom="1474" w:left="1871" w:header="851" w:footer="992" w:gutter="0"/>
          <w:pgBorders>
            <w:top w:val="none" w:sz="0" w:space="0"/>
            <w:left w:val="none" w:sz="0" w:space="0"/>
            <w:bottom w:val="none" w:sz="0" w:space="0"/>
            <w:right w:val="none" w:sz="0" w:space="0"/>
          </w:pgBorders>
          <w:pgNumType w:fmt="numberInDash"/>
          <w:cols w:space="720" w:num="1"/>
          <w:titlePg/>
          <w:rtlGutter w:val="0"/>
          <w:docGrid w:type="lines" w:linePitch="327" w:charSpace="0"/>
        </w:sectPr>
      </w:pPr>
      <w:r>
        <w:rPr>
          <w:rFonts w:ascii="Times New Roman" w:hAnsi="Times New Roman"/>
          <w:spacing w:val="-1"/>
          <w:sz w:val="21"/>
          <w:szCs w:val="21"/>
        </w:rPr>
        <w:t>本评估指标体系合格标准为：总分</w:t>
      </w:r>
      <w:r>
        <w:rPr>
          <w:rFonts w:ascii="Times New Roman" w:hAnsi="Times New Roman" w:eastAsia="宋体" w:cs="宋体"/>
          <w:spacing w:val="-1"/>
          <w:sz w:val="21"/>
          <w:szCs w:val="21"/>
        </w:rPr>
        <w:t>≧</w:t>
      </w:r>
      <w:r>
        <w:rPr>
          <w:rFonts w:ascii="Times New Roman" w:hAnsi="Times New Roman"/>
          <w:spacing w:val="-1"/>
          <w:sz w:val="21"/>
          <w:szCs w:val="21"/>
        </w:rPr>
        <w:t>85</w:t>
      </w:r>
      <w:r>
        <w:rPr>
          <w:rFonts w:ascii="Times New Roman" w:hAnsi="Times New Roman"/>
          <w:spacing w:val="-42"/>
          <w:sz w:val="21"/>
          <w:szCs w:val="21"/>
        </w:rPr>
        <w:t xml:space="preserve"> </w:t>
      </w:r>
      <w:r>
        <w:rPr>
          <w:rFonts w:ascii="Times New Roman" w:hAnsi="Times New Roman"/>
          <w:spacing w:val="-1"/>
          <w:sz w:val="21"/>
          <w:szCs w:val="21"/>
        </w:rPr>
        <w:t>分，且每个一级指标得分率</w:t>
      </w:r>
      <w:r>
        <w:rPr>
          <w:rFonts w:ascii="Times New Roman" w:hAnsi="Times New Roman" w:eastAsia="宋体" w:cs="宋体"/>
          <w:spacing w:val="-1"/>
          <w:sz w:val="21"/>
          <w:szCs w:val="21"/>
        </w:rPr>
        <w:t>≧</w:t>
      </w:r>
      <w:r>
        <w:rPr>
          <w:rFonts w:ascii="Times New Roman" w:hAnsi="Times New Roman"/>
          <w:spacing w:val="-1"/>
          <w:sz w:val="21"/>
          <w:szCs w:val="21"/>
        </w:rPr>
        <w:t>75%</w:t>
      </w:r>
    </w:p>
    <w:p w14:paraId="52E94F78"/>
    <w:sectPr>
      <w:pgSz w:w="11906" w:h="16838"/>
      <w:pgMar w:top="2098" w:right="1474" w:bottom="1871" w:left="1587" w:header="851" w:footer="992" w:gutter="0"/>
      <w:pgBorders>
        <w:top w:val="none" w:sz="0" w:space="0"/>
        <w:left w:val="none" w:sz="0" w:space="0"/>
        <w:bottom w:val="none" w:sz="0" w:space="0"/>
        <w:right w:val="none" w:sz="0" w:space="0"/>
      </w:pgBorders>
      <w:pgNumType w:fmt="numberInDash"/>
      <w:cols w:space="720" w:num="1"/>
      <w:titlePg/>
      <w:rtlGutter w:val="0"/>
      <w:docGrid w:type="lines" w:linePitch="32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C07421">
    <w:pPr>
      <w:spacing w:line="14" w:lineRule="auto"/>
      <w:rPr>
        <w:rFonts w:ascii="Arial"/>
        <w:sz w:val="2"/>
      </w:rPr>
    </w:pPr>
    <w:r>
      <w:rPr>
        <w:sz w:val="2"/>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5B54EBE">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SS+knIAQAAmQMAAA4AAAAAAAAAAQAgAAAAHgEAAGRycy9lMm9Eb2Mu&#10;eG1sUEsFBgAAAAAGAAYAWQEAAFgFAAAAAA==&#10;">
              <v:fill on="f" focussize="0,0"/>
              <v:stroke on="f"/>
              <v:imagedata o:title=""/>
              <o:lock v:ext="edit" aspectratio="f"/>
              <v:textbox inset="0mm,0mm,0mm,0mm" style="mso-fit-shape-to-text:t;">
                <w:txbxContent>
                  <w:p w14:paraId="25B54EBE">
                    <w:pPr>
                      <w:pStyle w:val="4"/>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- 11 -</w:t>
                    </w:r>
                    <w:r>
                      <w:rPr>
                        <w:rFonts w:hint="eastAsia" w:ascii="宋体" w:hAnsi="宋体" w:eastAsia="宋体" w:cs="宋体"/>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3D54E">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B4D9B02">
                          <w:pPr>
                            <w:pStyle w:val="4"/>
                            <w:rPr>
                              <w:rFonts w:hint="eastAsia" w:eastAsia="仿宋_GB2312"/>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4B4D9B02">
                    <w:pPr>
                      <w:pStyle w:val="4"/>
                      <w:rPr>
                        <w:rFonts w:hint="eastAsia" w:eastAsia="仿宋_GB2312"/>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- 1 -</w:t>
                    </w:r>
                    <w:r>
                      <w:rPr>
                        <w:rFonts w:hint="eastAsia" w:ascii="宋体" w:hAnsi="宋体" w:eastAsia="宋体" w:cs="宋体"/>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ExMzNlNTdlMDJiNmI2YzE0OGM3MmEyYzRmNjE4Y2MifQ=="/>
  </w:docVars>
  <w:rsids>
    <w:rsidRoot w:val="00000000"/>
    <w:rsid w:val="157D41FF"/>
    <w:rsid w:val="19512517"/>
    <w:rsid w:val="197E7326"/>
    <w:rsid w:val="25F42CDD"/>
    <w:rsid w:val="45EB11C4"/>
    <w:rsid w:val="6BAA39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iPriority="99"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21"/>
      <w:szCs w:val="21"/>
      <w:lang w:val="en-US" w:eastAsia="zh-CN" w:bidi="ar-SA"/>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3">
    <w:name w:val="Body Text"/>
    <w:basedOn w:val="1"/>
    <w:autoRedefine/>
    <w:qFormat/>
    <w:uiPriority w:val="1"/>
    <w:pPr>
      <w:autoSpaceDE w:val="0"/>
      <w:autoSpaceDN w:val="0"/>
      <w:ind w:left="115"/>
      <w:jc w:val="left"/>
    </w:pPr>
    <w:rPr>
      <w:rFonts w:ascii="仿宋_GB2312" w:hAnsi="仿宋_GB2312" w:eastAsia="仿宋_GB2312" w:cs="仿宋_GB2312"/>
      <w:kern w:val="0"/>
      <w:sz w:val="32"/>
      <w:szCs w:val="32"/>
      <w:lang w:val="zh-CN" w:bidi="zh-CN"/>
    </w:rPr>
  </w:style>
  <w:style w:type="paragraph" w:styleId="4">
    <w:name w:val="footer"/>
    <w:basedOn w:val="1"/>
    <w:autoRedefine/>
    <w:qFormat/>
    <w:uiPriority w:val="99"/>
    <w:pPr>
      <w:tabs>
        <w:tab w:val="center" w:pos="4153"/>
        <w:tab w:val="right" w:pos="8306"/>
      </w:tabs>
      <w:snapToGrid w:val="0"/>
      <w:jc w:val="left"/>
    </w:pPr>
    <w:rPr>
      <w:rFonts w:cs="Times New Roman"/>
      <w:kern w:val="0"/>
      <w:sz w:val="18"/>
      <w:szCs w:val="18"/>
    </w:rPr>
  </w:style>
  <w:style w:type="paragraph" w:styleId="5">
    <w:name w:val="index 9"/>
    <w:basedOn w:val="1"/>
    <w:next w:val="1"/>
    <w:autoRedefine/>
    <w:unhideWhenUsed/>
    <w:qFormat/>
    <w:uiPriority w:val="99"/>
    <w:pPr>
      <w:ind w:left="1600" w:leftChars="1600"/>
    </w:pPr>
  </w:style>
  <w:style w:type="paragraph" w:styleId="6">
    <w:name w:val="Body Text First Indent 2"/>
    <w:basedOn w:val="1"/>
    <w:next w:val="1"/>
    <w:qFormat/>
    <w:uiPriority w:val="0"/>
    <w:pPr>
      <w:spacing w:after="120" w:afterLines="0"/>
      <w:ind w:left="420" w:leftChars="200" w:firstLine="420" w:firstLineChars="200"/>
    </w:pPr>
    <w:rPr>
      <w:rFonts w:ascii="Times New Roman" w:hAnsi="Times New Roman" w:eastAsia="仿宋_GB2312" w:cs="Times New Roman"/>
      <w:sz w:val="32"/>
    </w:rPr>
  </w:style>
  <w:style w:type="table" w:customStyle="1" w:styleId="9">
    <w:name w:val="Table Normal"/>
    <w:autoRedefine/>
    <w:unhideWhenUsed/>
    <w:qFormat/>
    <w:uiPriority w:val="0"/>
    <w:tblPr>
      <w:tblCellMar>
        <w:top w:w="0" w:type="dxa"/>
        <w:left w:w="0" w:type="dxa"/>
        <w:bottom w:w="0" w:type="dxa"/>
        <w:right w:w="0" w:type="dxa"/>
      </w:tblCellMar>
    </w:tblPr>
  </w:style>
  <w:style w:type="paragraph" w:customStyle="1" w:styleId="10">
    <w:name w:val="Table Text"/>
    <w:basedOn w:val="1"/>
    <w:autoRedefine/>
    <w:semiHidden/>
    <w:qFormat/>
    <w:uiPriority w:val="0"/>
    <w:rPr>
      <w:rFonts w:ascii="仿宋" w:hAnsi="仿宋" w:eastAsia="仿宋" w:cs="仿宋"/>
      <w:sz w:val="32"/>
      <w:szCs w:val="32"/>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9520</Words>
  <Characters>9801</Characters>
  <Lines>0</Lines>
  <Paragraphs>0</Paragraphs>
  <TotalTime>0</TotalTime>
  <ScaleCrop>false</ScaleCrop>
  <LinksUpToDate>false</LinksUpToDate>
  <CharactersWithSpaces>9812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2023-12-28T01:09:00Z</dcterms:created>
  <dc:creator>Administrator</dc:creator>
  <cp:lastModifiedBy>好姑娘万丈光芒 </cp:lastModifiedBy>
  <dcterms:modified xsi:type="dcterms:W3CDTF">2024-09-20T06:04:22Z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6DDF98F094224F42900E4C8C84794AED_12</vt:lpwstr>
  </property>
</Properties>
</file>