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line="576" w:lineRule="exact"/>
        <w:jc w:val="center"/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</w:pPr>
      <w:bookmarkStart w:id="0" w:name="_Hlk89165240"/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威海临港经济技术开发区管理委员会</w:t>
      </w:r>
    </w:p>
    <w:p>
      <w:pPr>
        <w:spacing w:line="576" w:lineRule="exact"/>
        <w:jc w:val="center"/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202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  <w:t>2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年政府信息公开工作年度报告</w:t>
      </w:r>
    </w:p>
    <w:bookmarkEnd w:id="0"/>
    <w:p>
      <w:pPr>
        <w:spacing w:line="576" w:lineRule="exact"/>
        <w:ind w:firstLine="640" w:firstLineChars="200"/>
        <w:rPr>
          <w:rStyle w:val="23"/>
          <w:rFonts w:hint="default" w:ascii="Times New Roman" w:hAnsi="Times New Roman" w:cs="Times New Roman"/>
          <w:color w:val="auto"/>
        </w:rPr>
      </w:pPr>
    </w:p>
    <w:p>
      <w:pPr>
        <w:spacing w:line="576" w:lineRule="exact"/>
        <w:ind w:firstLine="640" w:firstLineChars="200"/>
        <w:rPr>
          <w:rStyle w:val="23"/>
          <w:rFonts w:hint="default" w:ascii="Times New Roman" w:hAnsi="Times New Roman" w:eastAsia="仿宋_GB2312" w:cs="Times New Roman"/>
          <w:color w:val="auto"/>
          <w:highlight w:val="none"/>
          <w:lang w:eastAsia="zh-CN"/>
        </w:rPr>
      </w:pPr>
      <w:r>
        <w:rPr>
          <w:rStyle w:val="23"/>
          <w:rFonts w:hint="default" w:ascii="Times New Roman" w:hAnsi="Times New Roman" w:eastAsia="仿宋_GB2312" w:cs="Times New Roman"/>
          <w:color w:val="auto"/>
          <w:highlight w:val="none"/>
        </w:rPr>
        <w:t>根据《中华人民共和国政府信息公开条例》（</w:t>
      </w:r>
      <w:r>
        <w:rPr>
          <w:rStyle w:val="23"/>
          <w:rFonts w:hint="default" w:ascii="Times New Roman" w:hAnsi="Times New Roman" w:eastAsia="仿宋_GB2312" w:cs="Times New Roman"/>
          <w:color w:val="auto"/>
          <w:highlight w:val="none"/>
          <w:lang w:eastAsia="zh-CN"/>
        </w:rPr>
        <w:t>国务院令第</w:t>
      </w:r>
      <w:r>
        <w:rPr>
          <w:rStyle w:val="23"/>
          <w:rFonts w:hint="default" w:ascii="Times New Roman" w:hAnsi="Times New Roman" w:eastAsia="仿宋_GB2312" w:cs="Times New Roman"/>
          <w:color w:val="auto"/>
          <w:highlight w:val="none"/>
          <w:lang w:val="en-US" w:eastAsia="zh-CN"/>
        </w:rPr>
        <w:t>711号</w:t>
      </w:r>
      <w:r>
        <w:rPr>
          <w:rStyle w:val="23"/>
          <w:rFonts w:hint="default" w:ascii="Times New Roman" w:hAnsi="Times New Roman" w:eastAsia="仿宋_GB2312" w:cs="Times New Roman"/>
          <w:color w:val="auto"/>
          <w:highlight w:val="none"/>
          <w:lang w:eastAsia="zh-CN"/>
        </w:rPr>
        <w:t>，</w:t>
      </w:r>
      <w:r>
        <w:rPr>
          <w:rStyle w:val="23"/>
          <w:rFonts w:hint="default" w:ascii="Times New Roman" w:hAnsi="Times New Roman" w:eastAsia="仿宋_GB2312" w:cs="Times New Roman"/>
          <w:color w:val="auto"/>
          <w:highlight w:val="none"/>
        </w:rPr>
        <w:t>以下简称《条例》）</w:t>
      </w:r>
      <w:r>
        <w:rPr>
          <w:rStyle w:val="23"/>
          <w:rFonts w:hint="default" w:ascii="Times New Roman" w:hAnsi="Times New Roman" w:eastAsia="仿宋_GB2312" w:cs="Times New Roman"/>
          <w:color w:val="auto"/>
          <w:highlight w:val="none"/>
          <w:lang w:eastAsia="zh-CN"/>
        </w:rPr>
        <w:t>和《中华人民共和国政府信息公开工作年度报告格式》(国办公开办函〔2021〕30号)要求，结合202</w:t>
      </w:r>
      <w:r>
        <w:rPr>
          <w:rStyle w:val="23"/>
          <w:rFonts w:hint="default" w:ascii="Times New Roman" w:hAnsi="Times New Roman" w:eastAsia="仿宋_GB2312" w:cs="Times New Roman"/>
          <w:color w:val="auto"/>
          <w:highlight w:val="none"/>
          <w:lang w:val="en-US" w:eastAsia="zh-CN"/>
        </w:rPr>
        <w:t>2</w:t>
      </w:r>
      <w:r>
        <w:rPr>
          <w:rStyle w:val="23"/>
          <w:rFonts w:hint="default" w:ascii="Times New Roman" w:hAnsi="Times New Roman" w:eastAsia="仿宋_GB2312" w:cs="Times New Roman"/>
          <w:color w:val="auto"/>
          <w:highlight w:val="none"/>
          <w:lang w:eastAsia="zh-CN"/>
        </w:rPr>
        <w:t>年威海</w:t>
      </w:r>
      <w:r>
        <w:rPr>
          <w:rStyle w:val="23"/>
          <w:rFonts w:hint="default" w:ascii="Times New Roman" w:hAnsi="Times New Roman" w:eastAsia="仿宋_GB2312" w:cs="Times New Roman"/>
          <w:color w:val="auto"/>
          <w:highlight w:val="none"/>
        </w:rPr>
        <w:t>临港经济技术开发区管理委员会</w:t>
      </w:r>
      <w:r>
        <w:rPr>
          <w:rStyle w:val="23"/>
          <w:rFonts w:hint="default" w:ascii="Times New Roman" w:hAnsi="Times New Roman" w:eastAsia="仿宋_GB2312" w:cs="Times New Roman"/>
          <w:color w:val="auto"/>
          <w:highlight w:val="none"/>
          <w:lang w:eastAsia="zh-CN"/>
        </w:rPr>
        <w:t>政府信息公开工作实际，编制发布本报告。</w:t>
      </w:r>
    </w:p>
    <w:p>
      <w:pPr>
        <w:spacing w:line="576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Style w:val="23"/>
          <w:rFonts w:hint="default" w:ascii="Times New Roman" w:hAnsi="Times New Roman" w:eastAsia="仿宋_GB2312" w:cs="Times New Roman"/>
          <w:color w:val="auto"/>
          <w:highlight w:val="none"/>
          <w:lang w:eastAsia="zh-CN"/>
        </w:rPr>
        <w:t>内容包括总体情况、主动公开政府信息情况、收到和处理政府信息公开申请情况、政府信息公开行政复议、行政诉讼情况、存在的主要问题及改进情况、其他事项，以及相关指标统计附表。本年度报告中所列数据统计期限从202</w:t>
      </w:r>
      <w:r>
        <w:rPr>
          <w:rStyle w:val="23"/>
          <w:rFonts w:hint="default" w:ascii="Times New Roman" w:hAnsi="Times New Roman" w:eastAsia="仿宋_GB2312" w:cs="Times New Roman"/>
          <w:color w:val="auto"/>
          <w:highlight w:val="none"/>
          <w:lang w:val="en-US" w:eastAsia="zh-CN"/>
        </w:rPr>
        <w:t>2</w:t>
      </w:r>
      <w:r>
        <w:rPr>
          <w:rStyle w:val="23"/>
          <w:rFonts w:hint="default" w:ascii="Times New Roman" w:hAnsi="Times New Roman" w:eastAsia="仿宋_GB2312" w:cs="Times New Roman"/>
          <w:color w:val="auto"/>
          <w:highlight w:val="none"/>
          <w:lang w:eastAsia="zh-CN"/>
        </w:rPr>
        <w:t>年1月1日到12月31日止。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报告电子版可在威海市人民政府门户网站（http://www.weihai.gov.cn）和</w:t>
      </w:r>
      <w:r>
        <w:rPr>
          <w:rStyle w:val="23"/>
          <w:rFonts w:hint="default" w:ascii="Times New Roman" w:hAnsi="Times New Roman" w:eastAsia="仿宋_GB2312" w:cs="Times New Roman"/>
          <w:color w:val="auto"/>
          <w:highlight w:val="none"/>
        </w:rPr>
        <w:t>威海临港经济技术开发区管委会网站（http://www.wip.gov.cn）</w:t>
      </w:r>
      <w:r>
        <w:rPr>
          <w:rStyle w:val="23"/>
          <w:rFonts w:hint="default" w:ascii="Times New Roman" w:hAnsi="Times New Roman" w:eastAsia="仿宋_GB2312" w:cs="Times New Roman"/>
          <w:color w:val="auto"/>
          <w:highlight w:val="none"/>
          <w:lang w:eastAsia="zh-CN"/>
        </w:rPr>
        <w:t>查询或</w:t>
      </w:r>
      <w:r>
        <w:rPr>
          <w:rStyle w:val="23"/>
          <w:rFonts w:hint="default" w:ascii="Times New Roman" w:hAnsi="Times New Roman" w:eastAsia="仿宋_GB2312" w:cs="Times New Roman"/>
          <w:color w:val="auto"/>
          <w:highlight w:val="none"/>
        </w:rPr>
        <w:t>下载。</w:t>
      </w:r>
      <w:r>
        <w:rPr>
          <w:rStyle w:val="23"/>
          <w:rFonts w:hint="default" w:ascii="Times New Roman" w:hAnsi="Times New Roman" w:eastAsia="仿宋_GB2312" w:cs="Times New Roman"/>
          <w:color w:val="auto"/>
          <w:highlight w:val="none"/>
          <w:lang w:eastAsia="zh-CN"/>
        </w:rPr>
        <w:t>公众如需进一步咨询了解相关信息，请与</w:t>
      </w:r>
      <w:r>
        <w:rPr>
          <w:rStyle w:val="23"/>
          <w:rFonts w:hint="default" w:ascii="Times New Roman" w:hAnsi="Times New Roman" w:eastAsia="仿宋_GB2312" w:cs="Times New Roman"/>
          <w:color w:val="auto"/>
          <w:highlight w:val="none"/>
        </w:rPr>
        <w:t>威海临港</w:t>
      </w:r>
      <w:r>
        <w:rPr>
          <w:rStyle w:val="23"/>
          <w:rFonts w:hint="default" w:ascii="Times New Roman" w:hAnsi="Times New Roman" w:eastAsia="仿宋_GB2312" w:cs="Times New Roman"/>
          <w:color w:val="auto"/>
          <w:highlight w:val="none"/>
          <w:lang w:eastAsia="zh-CN"/>
        </w:rPr>
        <w:t>经济技术开发</w:t>
      </w:r>
      <w:r>
        <w:rPr>
          <w:rStyle w:val="23"/>
          <w:rFonts w:hint="default" w:ascii="Times New Roman" w:hAnsi="Times New Roman" w:eastAsia="仿宋_GB2312" w:cs="Times New Roman"/>
          <w:color w:val="auto"/>
          <w:highlight w:val="none"/>
        </w:rPr>
        <w:t>区</w:t>
      </w:r>
      <w:r>
        <w:rPr>
          <w:rStyle w:val="23"/>
          <w:rFonts w:hint="default" w:ascii="Times New Roman" w:hAnsi="Times New Roman" w:eastAsia="仿宋_GB2312" w:cs="Times New Roman"/>
          <w:color w:val="auto"/>
          <w:highlight w:val="none"/>
          <w:lang w:eastAsia="zh-CN"/>
        </w:rPr>
        <w:t>管理委员会</w:t>
      </w:r>
      <w:r>
        <w:rPr>
          <w:rStyle w:val="23"/>
          <w:rFonts w:hint="default" w:ascii="Times New Roman" w:hAnsi="Times New Roman" w:eastAsia="仿宋_GB2312" w:cs="Times New Roman"/>
          <w:color w:val="auto"/>
          <w:highlight w:val="none"/>
        </w:rPr>
        <w:t>党政办公室联系（联系地址：威海临港</w:t>
      </w:r>
      <w:r>
        <w:rPr>
          <w:rStyle w:val="23"/>
          <w:rFonts w:hint="default" w:ascii="Times New Roman" w:hAnsi="Times New Roman" w:eastAsia="仿宋_GB2312" w:cs="Times New Roman"/>
          <w:color w:val="auto"/>
          <w:highlight w:val="none"/>
          <w:lang w:eastAsia="zh-CN"/>
        </w:rPr>
        <w:t>经济技术开发</w:t>
      </w:r>
      <w:r>
        <w:rPr>
          <w:rStyle w:val="23"/>
          <w:rFonts w:hint="default" w:ascii="Times New Roman" w:hAnsi="Times New Roman" w:eastAsia="仿宋_GB2312" w:cs="Times New Roman"/>
          <w:color w:val="auto"/>
          <w:highlight w:val="none"/>
        </w:rPr>
        <w:t>区江苏东路；邮政编码：264211；联系电话：0631-5587393）。</w:t>
      </w:r>
    </w:p>
    <w:p>
      <w:pPr>
        <w:spacing w:line="576" w:lineRule="exact"/>
        <w:ind w:firstLine="640" w:firstLineChars="200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一、总体情况</w:t>
      </w:r>
    </w:p>
    <w:p>
      <w:pPr>
        <w:spacing w:line="576" w:lineRule="exact"/>
        <w:ind w:firstLine="640" w:firstLineChars="200"/>
        <w:rPr>
          <w:rStyle w:val="23"/>
          <w:rFonts w:hint="default" w:ascii="Times New Roman" w:hAnsi="Times New Roman" w:eastAsia="仿宋_GB2312" w:cs="Times New Roman"/>
          <w:color w:val="auto"/>
          <w:highlight w:val="none"/>
          <w:lang w:val="en-US" w:eastAsia="zh-CN"/>
        </w:rPr>
      </w:pPr>
      <w:r>
        <w:rPr>
          <w:rStyle w:val="23"/>
          <w:rFonts w:hint="default" w:ascii="Times New Roman" w:hAnsi="Times New Roman" w:eastAsia="仿宋_GB2312" w:cs="Times New Roman"/>
          <w:color w:val="auto"/>
          <w:highlight w:val="none"/>
        </w:rPr>
        <w:t>202</w:t>
      </w:r>
      <w:r>
        <w:rPr>
          <w:rStyle w:val="23"/>
          <w:rFonts w:hint="default" w:ascii="Times New Roman" w:hAnsi="Times New Roman" w:eastAsia="仿宋_GB2312" w:cs="Times New Roman"/>
          <w:color w:val="auto"/>
          <w:highlight w:val="none"/>
          <w:lang w:val="en-US" w:eastAsia="zh-CN"/>
        </w:rPr>
        <w:t>2</w:t>
      </w:r>
      <w:r>
        <w:rPr>
          <w:rStyle w:val="23"/>
          <w:rFonts w:hint="default" w:ascii="Times New Roman" w:hAnsi="Times New Roman" w:eastAsia="仿宋_GB2312" w:cs="Times New Roman"/>
          <w:color w:val="auto"/>
          <w:highlight w:val="none"/>
        </w:rPr>
        <w:t>年，临港</w:t>
      </w:r>
      <w:r>
        <w:rPr>
          <w:rStyle w:val="23"/>
          <w:rFonts w:hint="default" w:ascii="Times New Roman" w:hAnsi="Times New Roman" w:eastAsia="仿宋_GB2312" w:cs="Times New Roman"/>
          <w:color w:val="auto"/>
          <w:highlight w:val="none"/>
          <w:lang w:val="en-US" w:eastAsia="zh-CN"/>
        </w:rPr>
        <w:t>区围绕党中央、国务院和省、市、区中心工作，强化重大领域信息公开、会议公开及解读、政策发布及解读等，全面落实政府信息公开平台建设，进一步提升基层各领域主动公开水平。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right="0" w:rightChars="0" w:firstLine="640" w:firstLineChars="200"/>
        <w:jc w:val="left"/>
        <w:rPr>
          <w:rFonts w:hint="default" w:ascii="Times New Roman" w:hAnsi="Times New Roman" w:eastAsia="楷体" w:cs="Times New Roman"/>
          <w:b w:val="0"/>
          <w:bCs w:val="0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right="0" w:rightChars="0" w:firstLine="640" w:firstLineChars="200"/>
        <w:jc w:val="left"/>
        <w:rPr>
          <w:rFonts w:hint="default" w:ascii="Times New Roman" w:hAnsi="Times New Roman" w:eastAsia="楷体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楷体" w:cs="Times New Roman"/>
          <w:b w:val="0"/>
          <w:bCs w:val="0"/>
          <w:color w:val="auto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楷体" w:cs="Times New Roman"/>
          <w:b w:val="0"/>
          <w:bCs w:val="0"/>
          <w:color w:val="auto"/>
          <w:sz w:val="32"/>
          <w:szCs w:val="32"/>
        </w:rPr>
        <w:t>主动公开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right="0" w:rightChars="0" w:firstLine="640" w:firstLineChars="200"/>
        <w:jc w:val="left"/>
        <w:rPr>
          <w:rStyle w:val="23"/>
          <w:rFonts w:hint="default" w:ascii="Times New Roman" w:hAnsi="Times New Roman" w:eastAsia="仿宋_GB2312" w:cs="Times New Roman"/>
          <w:color w:val="auto"/>
          <w:highlight w:val="none"/>
        </w:rPr>
      </w:pPr>
      <w:r>
        <w:rPr>
          <w:rStyle w:val="23"/>
          <w:rFonts w:hint="default" w:ascii="Times New Roman" w:hAnsi="Times New Roman" w:eastAsia="仿宋_GB2312" w:cs="Times New Roman"/>
          <w:color w:val="auto"/>
          <w:highlight w:val="none"/>
        </w:rPr>
        <w:t>通过区管委门户网站以及全区政务新媒体公开信息</w:t>
      </w:r>
      <w:r>
        <w:rPr>
          <w:rStyle w:val="23"/>
          <w:rFonts w:hint="default" w:ascii="Times New Roman" w:hAnsi="Times New Roman" w:eastAsia="仿宋_GB2312" w:cs="Times New Roman"/>
          <w:color w:val="auto"/>
          <w:highlight w:val="none"/>
          <w:lang w:val="en-US" w:eastAsia="zh-CN"/>
        </w:rPr>
        <w:t>10763</w:t>
      </w:r>
      <w:r>
        <w:rPr>
          <w:rStyle w:val="23"/>
          <w:rFonts w:hint="default" w:ascii="Times New Roman" w:hAnsi="Times New Roman" w:eastAsia="仿宋_GB2312" w:cs="Times New Roman"/>
          <w:color w:val="auto"/>
          <w:highlight w:val="none"/>
          <w:lang w:eastAsia="zh-CN"/>
        </w:rPr>
        <w:t>件</w:t>
      </w:r>
      <w:r>
        <w:rPr>
          <w:rStyle w:val="23"/>
          <w:rFonts w:hint="default" w:ascii="Times New Roman" w:hAnsi="Times New Roman" w:eastAsia="仿宋_GB2312" w:cs="Times New Roman"/>
          <w:color w:val="auto"/>
          <w:highlight w:val="none"/>
        </w:rPr>
        <w:t>（较上年度增加</w:t>
      </w:r>
      <w:r>
        <w:rPr>
          <w:rStyle w:val="23"/>
          <w:rFonts w:hint="default" w:ascii="Times New Roman" w:hAnsi="Times New Roman" w:eastAsia="仿宋_GB2312" w:cs="Times New Roman"/>
          <w:color w:val="auto"/>
          <w:highlight w:val="none"/>
          <w:lang w:val="en-US" w:eastAsia="zh-CN"/>
        </w:rPr>
        <w:t>17.2</w:t>
      </w:r>
      <w:r>
        <w:rPr>
          <w:rStyle w:val="23"/>
          <w:rFonts w:hint="default" w:ascii="Times New Roman" w:hAnsi="Times New Roman" w:eastAsia="仿宋_GB2312" w:cs="Times New Roman"/>
          <w:color w:val="auto"/>
          <w:highlight w:val="none"/>
        </w:rPr>
        <w:t>%，含网站信息</w:t>
      </w:r>
      <w:r>
        <w:rPr>
          <w:rStyle w:val="23"/>
          <w:rFonts w:hint="default" w:ascii="Times New Roman" w:hAnsi="Times New Roman" w:eastAsia="仿宋_GB2312" w:cs="Times New Roman"/>
          <w:color w:val="auto"/>
          <w:highlight w:val="none"/>
          <w:lang w:val="en-US" w:eastAsia="zh-CN"/>
        </w:rPr>
        <w:t>4161</w:t>
      </w:r>
      <w:r>
        <w:rPr>
          <w:rStyle w:val="23"/>
          <w:rFonts w:hint="default" w:ascii="Times New Roman" w:hAnsi="Times New Roman" w:eastAsia="仿宋_GB2312" w:cs="Times New Roman"/>
          <w:color w:val="auto"/>
          <w:highlight w:val="none"/>
          <w:lang w:eastAsia="zh-CN"/>
        </w:rPr>
        <w:t>件</w:t>
      </w:r>
      <w:r>
        <w:rPr>
          <w:rStyle w:val="23"/>
          <w:rFonts w:hint="default" w:ascii="Times New Roman" w:hAnsi="Times New Roman" w:eastAsia="仿宋_GB2312" w:cs="Times New Roman"/>
          <w:color w:val="auto"/>
          <w:highlight w:val="none"/>
        </w:rPr>
        <w:t>、微信信息</w:t>
      </w:r>
      <w:r>
        <w:rPr>
          <w:rStyle w:val="23"/>
          <w:rFonts w:hint="default" w:ascii="Times New Roman" w:hAnsi="Times New Roman" w:eastAsia="仿宋_GB2312" w:cs="Times New Roman"/>
          <w:color w:val="auto"/>
          <w:highlight w:val="none"/>
          <w:lang w:val="en-US" w:eastAsia="zh-CN"/>
        </w:rPr>
        <w:t>5073</w:t>
      </w:r>
      <w:r>
        <w:rPr>
          <w:rStyle w:val="23"/>
          <w:rFonts w:hint="default" w:ascii="Times New Roman" w:hAnsi="Times New Roman" w:eastAsia="仿宋_GB2312" w:cs="Times New Roman"/>
          <w:color w:val="auto"/>
          <w:highlight w:val="none"/>
          <w:lang w:eastAsia="zh-CN"/>
        </w:rPr>
        <w:t>件</w:t>
      </w:r>
      <w:r>
        <w:rPr>
          <w:rStyle w:val="23"/>
          <w:rFonts w:hint="default" w:ascii="Times New Roman" w:hAnsi="Times New Roman" w:eastAsia="仿宋_GB2312" w:cs="Times New Roman"/>
          <w:color w:val="auto"/>
          <w:highlight w:val="none"/>
        </w:rPr>
        <w:t>、微博信息13</w:t>
      </w:r>
      <w:r>
        <w:rPr>
          <w:rStyle w:val="23"/>
          <w:rFonts w:hint="default" w:ascii="Times New Roman" w:hAnsi="Times New Roman" w:eastAsia="仿宋_GB2312" w:cs="Times New Roman"/>
          <w:color w:val="auto"/>
          <w:highlight w:val="none"/>
          <w:lang w:val="en-US" w:eastAsia="zh-CN"/>
        </w:rPr>
        <w:t>89</w:t>
      </w:r>
      <w:r>
        <w:rPr>
          <w:rStyle w:val="23"/>
          <w:rFonts w:hint="default" w:ascii="Times New Roman" w:hAnsi="Times New Roman" w:eastAsia="仿宋_GB2312" w:cs="Times New Roman"/>
          <w:color w:val="auto"/>
          <w:highlight w:val="none"/>
          <w:lang w:eastAsia="zh-CN"/>
        </w:rPr>
        <w:t>件</w:t>
      </w:r>
      <w:r>
        <w:rPr>
          <w:rStyle w:val="23"/>
          <w:rFonts w:hint="default" w:ascii="Times New Roman" w:hAnsi="Times New Roman" w:eastAsia="仿宋_GB2312" w:cs="Times New Roman"/>
          <w:color w:val="auto"/>
          <w:highlight w:val="none"/>
        </w:rPr>
        <w:t>、抖音信息1</w:t>
      </w:r>
      <w:r>
        <w:rPr>
          <w:rStyle w:val="23"/>
          <w:rFonts w:hint="default" w:ascii="Times New Roman" w:hAnsi="Times New Roman" w:eastAsia="仿宋_GB2312" w:cs="Times New Roman"/>
          <w:color w:val="auto"/>
          <w:highlight w:val="none"/>
          <w:lang w:val="en-US" w:eastAsia="zh-CN"/>
        </w:rPr>
        <w:t>40</w:t>
      </w:r>
      <w:r>
        <w:rPr>
          <w:rStyle w:val="23"/>
          <w:rFonts w:hint="default" w:ascii="Times New Roman" w:hAnsi="Times New Roman" w:eastAsia="仿宋_GB2312" w:cs="Times New Roman"/>
          <w:color w:val="auto"/>
          <w:highlight w:val="none"/>
          <w:lang w:eastAsia="zh-CN"/>
        </w:rPr>
        <w:t>件</w:t>
      </w:r>
      <w:r>
        <w:rPr>
          <w:rStyle w:val="23"/>
          <w:rFonts w:hint="default" w:ascii="Times New Roman" w:hAnsi="Times New Roman" w:eastAsia="仿宋_GB2312" w:cs="Times New Roman"/>
          <w:color w:val="auto"/>
          <w:highlight w:val="none"/>
        </w:rPr>
        <w:t>），其中公开工委（扩大）会议</w:t>
      </w:r>
      <w:r>
        <w:rPr>
          <w:rStyle w:val="23"/>
          <w:rFonts w:hint="default" w:ascii="Times New Roman" w:hAnsi="Times New Roman" w:eastAsia="仿宋_GB2312" w:cs="Times New Roman"/>
          <w:color w:val="auto"/>
          <w:highlight w:val="none"/>
          <w:lang w:val="en-US" w:eastAsia="zh-CN"/>
        </w:rPr>
        <w:t>19</w:t>
      </w:r>
      <w:r>
        <w:rPr>
          <w:rStyle w:val="23"/>
          <w:rFonts w:hint="default" w:ascii="Times New Roman" w:hAnsi="Times New Roman" w:eastAsia="仿宋_GB2312" w:cs="Times New Roman"/>
          <w:color w:val="auto"/>
          <w:highlight w:val="none"/>
          <w:lang w:eastAsia="zh-CN"/>
        </w:rPr>
        <w:t>件、专题会议</w:t>
      </w:r>
      <w:r>
        <w:rPr>
          <w:rStyle w:val="23"/>
          <w:rFonts w:hint="default" w:ascii="Times New Roman" w:hAnsi="Times New Roman" w:eastAsia="仿宋_GB2312" w:cs="Times New Roman"/>
          <w:color w:val="auto"/>
          <w:highlight w:val="none"/>
          <w:lang w:val="en-US" w:eastAsia="zh-CN"/>
        </w:rPr>
        <w:t>4</w:t>
      </w:r>
      <w:r>
        <w:rPr>
          <w:rStyle w:val="23"/>
          <w:rFonts w:hint="default" w:ascii="Times New Roman" w:hAnsi="Times New Roman" w:eastAsia="仿宋_GB2312" w:cs="Times New Roman"/>
          <w:color w:val="auto"/>
          <w:highlight w:val="none"/>
          <w:lang w:eastAsia="zh-CN"/>
        </w:rPr>
        <w:t>件</w:t>
      </w:r>
      <w:r>
        <w:rPr>
          <w:rStyle w:val="23"/>
          <w:rFonts w:hint="default" w:ascii="Times New Roman" w:hAnsi="Times New Roman" w:eastAsia="仿宋_GB2312" w:cs="Times New Roman"/>
          <w:color w:val="auto"/>
          <w:highlight w:val="none"/>
        </w:rPr>
        <w:t>，管委文件</w:t>
      </w:r>
      <w:r>
        <w:rPr>
          <w:rStyle w:val="23"/>
          <w:rFonts w:hint="default" w:ascii="Times New Roman" w:hAnsi="Times New Roman" w:eastAsia="仿宋_GB2312" w:cs="Times New Roman"/>
          <w:color w:val="auto"/>
          <w:highlight w:val="none"/>
          <w:lang w:val="en-US" w:eastAsia="zh-CN"/>
        </w:rPr>
        <w:t>9</w:t>
      </w:r>
      <w:r>
        <w:rPr>
          <w:rStyle w:val="23"/>
          <w:rFonts w:hint="default" w:ascii="Times New Roman" w:hAnsi="Times New Roman" w:eastAsia="仿宋_GB2312" w:cs="Times New Roman"/>
          <w:color w:val="auto"/>
          <w:highlight w:val="none"/>
        </w:rPr>
        <w:t>件</w:t>
      </w:r>
      <w:r>
        <w:rPr>
          <w:rStyle w:val="23"/>
          <w:rFonts w:hint="default" w:ascii="Times New Roman" w:hAnsi="Times New Roman" w:eastAsia="仿宋_GB2312" w:cs="Times New Roman"/>
          <w:color w:val="auto"/>
          <w:highlight w:val="none"/>
          <w:lang w:eastAsia="zh-CN"/>
        </w:rPr>
        <w:t>（含</w:t>
      </w:r>
      <w:r>
        <w:rPr>
          <w:rStyle w:val="23"/>
          <w:rFonts w:hint="default" w:ascii="Times New Roman" w:hAnsi="Times New Roman" w:eastAsia="仿宋_GB2312" w:cs="Times New Roman"/>
          <w:color w:val="auto"/>
          <w:highlight w:val="none"/>
          <w:lang w:val="en-US" w:eastAsia="zh-CN"/>
        </w:rPr>
        <w:t>2021年12月31日制作1件，2022年1月4日公开</w:t>
      </w:r>
      <w:r>
        <w:rPr>
          <w:rStyle w:val="23"/>
          <w:rFonts w:hint="default" w:ascii="Times New Roman" w:hAnsi="Times New Roman" w:eastAsia="仿宋_GB2312" w:cs="Times New Roman"/>
          <w:color w:val="auto"/>
          <w:highlight w:val="none"/>
          <w:lang w:eastAsia="zh-CN"/>
        </w:rPr>
        <w:t>）</w:t>
      </w:r>
      <w:r>
        <w:rPr>
          <w:rStyle w:val="23"/>
          <w:rFonts w:hint="default" w:ascii="Times New Roman" w:hAnsi="Times New Roman" w:eastAsia="仿宋_GB2312" w:cs="Times New Roman"/>
          <w:color w:val="auto"/>
          <w:highlight w:val="none"/>
        </w:rPr>
        <w:t>，发布解读材料</w:t>
      </w:r>
      <w:r>
        <w:rPr>
          <w:rStyle w:val="23"/>
          <w:rFonts w:hint="default" w:ascii="Times New Roman" w:hAnsi="Times New Roman" w:eastAsia="仿宋_GB2312" w:cs="Times New Roman"/>
          <w:color w:val="auto"/>
          <w:highlight w:val="none"/>
          <w:lang w:val="en-US" w:eastAsia="zh-CN"/>
        </w:rPr>
        <w:t>6</w:t>
      </w:r>
      <w:r>
        <w:rPr>
          <w:rStyle w:val="23"/>
          <w:rFonts w:hint="default" w:ascii="Times New Roman" w:hAnsi="Times New Roman" w:eastAsia="仿宋_GB2312" w:cs="Times New Roman"/>
          <w:color w:val="auto"/>
          <w:highlight w:val="none"/>
        </w:rPr>
        <w:t>件；开展在线访谈</w:t>
      </w:r>
      <w:r>
        <w:rPr>
          <w:rStyle w:val="23"/>
          <w:rFonts w:hint="default" w:ascii="Times New Roman" w:hAnsi="Times New Roman" w:eastAsia="仿宋_GB2312" w:cs="Times New Roman"/>
          <w:color w:val="auto"/>
          <w:highlight w:val="none"/>
          <w:lang w:val="en-US" w:eastAsia="zh-CN"/>
        </w:rPr>
        <w:t>4</w:t>
      </w:r>
      <w:r>
        <w:rPr>
          <w:rStyle w:val="23"/>
          <w:rFonts w:hint="default" w:ascii="Times New Roman" w:hAnsi="Times New Roman" w:eastAsia="仿宋_GB2312" w:cs="Times New Roman"/>
          <w:color w:val="auto"/>
          <w:highlight w:val="none"/>
          <w:lang w:eastAsia="zh-CN"/>
        </w:rPr>
        <w:t>件，新闻发布会</w:t>
      </w:r>
      <w:r>
        <w:rPr>
          <w:rStyle w:val="23"/>
          <w:rFonts w:hint="default" w:ascii="Times New Roman" w:hAnsi="Times New Roman" w:eastAsia="仿宋_GB2312" w:cs="Times New Roman"/>
          <w:color w:val="auto"/>
          <w:highlight w:val="none"/>
          <w:lang w:val="en-US" w:eastAsia="zh-CN"/>
        </w:rPr>
        <w:t>6</w:t>
      </w:r>
      <w:r>
        <w:rPr>
          <w:rStyle w:val="23"/>
          <w:rFonts w:hint="default" w:ascii="Times New Roman" w:hAnsi="Times New Roman" w:eastAsia="仿宋_GB2312" w:cs="Times New Roman"/>
          <w:color w:val="auto"/>
          <w:highlight w:val="none"/>
          <w:lang w:eastAsia="zh-CN"/>
        </w:rPr>
        <w:t>件</w:t>
      </w:r>
      <w:r>
        <w:rPr>
          <w:rStyle w:val="23"/>
          <w:rFonts w:hint="default" w:ascii="Times New Roman" w:hAnsi="Times New Roman" w:eastAsia="仿宋_GB2312" w:cs="Times New Roman"/>
          <w:color w:val="auto"/>
          <w:highlight w:val="none"/>
        </w:rPr>
        <w:t>。</w:t>
      </w:r>
      <w:r>
        <w:rPr>
          <w:rStyle w:val="23"/>
          <w:rFonts w:hint="default" w:ascii="Times New Roman" w:hAnsi="Times New Roman" w:eastAsia="仿宋_GB2312" w:cs="Times New Roman"/>
          <w:color w:val="auto"/>
          <w:highlight w:val="none"/>
          <w:lang w:eastAsia="zh-CN"/>
        </w:rPr>
        <w:t>受理主任信箱（政民互动）信件</w:t>
      </w:r>
      <w:r>
        <w:rPr>
          <w:rStyle w:val="23"/>
          <w:rFonts w:hint="default" w:ascii="Times New Roman" w:hAnsi="Times New Roman" w:eastAsia="仿宋_GB2312" w:cs="Times New Roman"/>
          <w:color w:val="auto"/>
          <w:highlight w:val="none"/>
          <w:lang w:val="en-US" w:eastAsia="zh-CN"/>
        </w:rPr>
        <w:t>142件，办结率100%；围绕管委中心工作和重要决策部署，举办“政府开放日”5次。</w:t>
      </w:r>
    </w:p>
    <w:p>
      <w:pPr>
        <w:numPr>
          <w:ilvl w:val="0"/>
          <w:numId w:val="0"/>
        </w:numPr>
        <w:spacing w:line="576" w:lineRule="exact"/>
        <w:ind w:firstLine="640" w:firstLineChars="200"/>
        <w:jc w:val="both"/>
        <w:rPr>
          <w:rFonts w:hint="default" w:ascii="Times New Roman" w:hAnsi="Times New Roman" w:eastAsia="楷体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楷体" w:cs="Times New Roman"/>
          <w:b w:val="0"/>
          <w:bCs w:val="0"/>
          <w:color w:val="auto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楷体" w:cs="Times New Roman"/>
          <w:b w:val="0"/>
          <w:bCs w:val="0"/>
          <w:color w:val="auto"/>
          <w:sz w:val="32"/>
          <w:szCs w:val="32"/>
        </w:rPr>
        <w:t>依申请公开</w:t>
      </w:r>
    </w:p>
    <w:p>
      <w:pPr>
        <w:numPr>
          <w:ilvl w:val="0"/>
          <w:numId w:val="0"/>
        </w:numPr>
        <w:spacing w:line="576" w:lineRule="exact"/>
        <w:ind w:firstLine="640" w:firstLineChars="200"/>
        <w:jc w:val="both"/>
        <w:rPr>
          <w:rStyle w:val="23"/>
          <w:rFonts w:hint="default" w:ascii="Times New Roman" w:hAnsi="Times New Roman" w:eastAsia="仿宋_GB2312" w:cs="Times New Roman"/>
          <w:color w:val="auto"/>
          <w:highlight w:val="none"/>
        </w:rPr>
      </w:pPr>
      <w:r>
        <w:rPr>
          <w:rStyle w:val="23"/>
          <w:rFonts w:hint="default" w:ascii="Times New Roman" w:hAnsi="Times New Roman" w:eastAsia="仿宋_GB2312" w:cs="Times New Roman"/>
          <w:color w:val="auto"/>
          <w:highlight w:val="none"/>
        </w:rPr>
        <w:t>本年新收政府信息公开申请6件（</w:t>
      </w:r>
      <w:r>
        <w:rPr>
          <w:rStyle w:val="23"/>
          <w:rFonts w:hint="default" w:ascii="Times New Roman" w:hAnsi="Times New Roman" w:eastAsia="仿宋_GB2312" w:cs="Times New Roman"/>
          <w:color w:val="auto"/>
          <w:highlight w:val="none"/>
          <w:lang w:eastAsia="zh-CN"/>
        </w:rPr>
        <w:t>与</w:t>
      </w:r>
      <w:r>
        <w:rPr>
          <w:rStyle w:val="23"/>
          <w:rFonts w:hint="default" w:ascii="Times New Roman" w:hAnsi="Times New Roman" w:eastAsia="仿宋_GB2312" w:cs="Times New Roman"/>
          <w:color w:val="auto"/>
          <w:highlight w:val="none"/>
        </w:rPr>
        <w:t>上年度</w:t>
      </w:r>
      <w:r>
        <w:rPr>
          <w:rStyle w:val="23"/>
          <w:rFonts w:hint="default" w:ascii="Times New Roman" w:hAnsi="Times New Roman" w:eastAsia="仿宋_GB2312" w:cs="Times New Roman"/>
          <w:color w:val="auto"/>
          <w:highlight w:val="none"/>
          <w:lang w:eastAsia="zh-CN"/>
        </w:rPr>
        <w:t>持平</w:t>
      </w:r>
      <w:r>
        <w:rPr>
          <w:rStyle w:val="23"/>
          <w:rFonts w:hint="default" w:ascii="Times New Roman" w:hAnsi="Times New Roman" w:eastAsia="仿宋_GB2312" w:cs="Times New Roman"/>
          <w:color w:val="auto"/>
          <w:highlight w:val="none"/>
        </w:rPr>
        <w:t>），依法依规处理6件。</w:t>
      </w:r>
      <w:r>
        <w:rPr>
          <w:rStyle w:val="23"/>
          <w:rFonts w:hint="default" w:ascii="Times New Roman" w:hAnsi="Times New Roman" w:eastAsia="仿宋_GB2312" w:cs="Times New Roman"/>
          <w:color w:val="auto"/>
          <w:highlight w:val="none"/>
          <w:lang w:eastAsia="zh-CN"/>
        </w:rPr>
        <w:t>申请内容方面，涉及建筑施工相关信息</w:t>
      </w:r>
      <w:r>
        <w:rPr>
          <w:rStyle w:val="23"/>
          <w:rFonts w:hint="default" w:ascii="Times New Roman" w:hAnsi="Times New Roman" w:eastAsia="仿宋_GB2312" w:cs="Times New Roman"/>
          <w:color w:val="auto"/>
          <w:highlight w:val="none"/>
          <w:lang w:val="en-US" w:eastAsia="zh-CN"/>
        </w:rPr>
        <w:t>5件，</w:t>
      </w:r>
      <w:r>
        <w:rPr>
          <w:rStyle w:val="23"/>
          <w:rFonts w:hint="default" w:ascii="Times New Roman" w:hAnsi="Times New Roman" w:eastAsia="仿宋_GB2312" w:cs="Times New Roman"/>
          <w:color w:val="auto"/>
          <w:highlight w:val="none"/>
          <w:lang w:eastAsia="zh-CN"/>
        </w:rPr>
        <w:t>职工保险相关信息</w:t>
      </w:r>
      <w:r>
        <w:rPr>
          <w:rStyle w:val="23"/>
          <w:rFonts w:hint="default" w:ascii="Times New Roman" w:hAnsi="Times New Roman" w:eastAsia="仿宋_GB2312" w:cs="Times New Roman"/>
          <w:color w:val="auto"/>
          <w:highlight w:val="none"/>
          <w:lang w:val="en-US" w:eastAsia="zh-CN"/>
        </w:rPr>
        <w:t>1件</w:t>
      </w:r>
      <w:r>
        <w:rPr>
          <w:rStyle w:val="23"/>
          <w:rFonts w:hint="default" w:ascii="Times New Roman" w:hAnsi="Times New Roman" w:eastAsia="仿宋_GB2312" w:cs="Times New Roman"/>
          <w:color w:val="auto"/>
          <w:highlight w:val="none"/>
          <w:lang w:eastAsia="zh-CN"/>
        </w:rPr>
        <w:t>；提交方式方面，</w:t>
      </w:r>
      <w:r>
        <w:rPr>
          <w:rStyle w:val="23"/>
          <w:rFonts w:hint="default" w:ascii="Times New Roman" w:hAnsi="Times New Roman" w:eastAsia="仿宋_GB2312" w:cs="Times New Roman"/>
          <w:color w:val="auto"/>
          <w:highlight w:val="none"/>
        </w:rPr>
        <w:t>网络提交</w:t>
      </w:r>
      <w:r>
        <w:rPr>
          <w:rStyle w:val="23"/>
          <w:rFonts w:hint="default" w:ascii="Times New Roman" w:hAnsi="Times New Roman" w:eastAsia="仿宋_GB2312" w:cs="Times New Roman"/>
          <w:color w:val="auto"/>
          <w:highlight w:val="none"/>
          <w:lang w:val="en-US" w:eastAsia="zh-CN"/>
        </w:rPr>
        <w:t>1</w:t>
      </w:r>
      <w:r>
        <w:rPr>
          <w:rStyle w:val="23"/>
          <w:rFonts w:hint="default" w:ascii="Times New Roman" w:hAnsi="Times New Roman" w:eastAsia="仿宋_GB2312" w:cs="Times New Roman"/>
          <w:color w:val="auto"/>
          <w:highlight w:val="none"/>
        </w:rPr>
        <w:t>件，信函提交</w:t>
      </w:r>
      <w:r>
        <w:rPr>
          <w:rStyle w:val="23"/>
          <w:rFonts w:hint="default" w:ascii="Times New Roman" w:hAnsi="Times New Roman" w:eastAsia="仿宋_GB2312" w:cs="Times New Roman"/>
          <w:color w:val="auto"/>
          <w:highlight w:val="none"/>
          <w:lang w:val="en-US" w:eastAsia="zh-CN"/>
        </w:rPr>
        <w:t>4</w:t>
      </w:r>
      <w:r>
        <w:rPr>
          <w:rStyle w:val="23"/>
          <w:rFonts w:hint="default" w:ascii="Times New Roman" w:hAnsi="Times New Roman" w:eastAsia="仿宋_GB2312" w:cs="Times New Roman"/>
          <w:color w:val="auto"/>
          <w:highlight w:val="none"/>
        </w:rPr>
        <w:t>件</w:t>
      </w:r>
      <w:r>
        <w:rPr>
          <w:rStyle w:val="23"/>
          <w:rFonts w:hint="default" w:ascii="Times New Roman" w:hAnsi="Times New Roman" w:eastAsia="仿宋_GB2312" w:cs="Times New Roman"/>
          <w:color w:val="auto"/>
          <w:highlight w:val="none"/>
          <w:lang w:eastAsia="zh-CN"/>
        </w:rPr>
        <w:t>，现场提交</w:t>
      </w:r>
      <w:r>
        <w:rPr>
          <w:rStyle w:val="23"/>
          <w:rFonts w:hint="default" w:ascii="Times New Roman" w:hAnsi="Times New Roman" w:eastAsia="仿宋_GB2312" w:cs="Times New Roman"/>
          <w:color w:val="auto"/>
          <w:highlight w:val="none"/>
          <w:lang w:val="en-US" w:eastAsia="zh-CN"/>
        </w:rPr>
        <w:t>1件</w:t>
      </w:r>
      <w:r>
        <w:rPr>
          <w:rStyle w:val="23"/>
          <w:rFonts w:hint="default" w:ascii="Times New Roman" w:hAnsi="Times New Roman" w:eastAsia="仿宋_GB2312" w:cs="Times New Roman"/>
          <w:color w:val="auto"/>
          <w:highlight w:val="none"/>
          <w:lang w:eastAsia="zh-CN"/>
        </w:rPr>
        <w:t>；</w:t>
      </w:r>
      <w:r>
        <w:rPr>
          <w:rStyle w:val="23"/>
          <w:rFonts w:hint="default" w:ascii="Times New Roman" w:hAnsi="Times New Roman" w:eastAsia="仿宋_GB2312" w:cs="Times New Roman"/>
          <w:color w:val="auto"/>
          <w:highlight w:val="none"/>
        </w:rPr>
        <w:t>办理结果</w:t>
      </w:r>
      <w:r>
        <w:rPr>
          <w:rStyle w:val="23"/>
          <w:rFonts w:hint="default" w:ascii="Times New Roman" w:hAnsi="Times New Roman" w:eastAsia="仿宋_GB2312" w:cs="Times New Roman"/>
          <w:color w:val="auto"/>
          <w:highlight w:val="none"/>
          <w:lang w:eastAsia="zh-CN"/>
        </w:rPr>
        <w:t>方面</w:t>
      </w:r>
      <w:r>
        <w:rPr>
          <w:rStyle w:val="23"/>
          <w:rFonts w:hint="default" w:ascii="Times New Roman" w:hAnsi="Times New Roman" w:eastAsia="仿宋_GB2312" w:cs="Times New Roman"/>
          <w:color w:val="auto"/>
          <w:highlight w:val="none"/>
        </w:rPr>
        <w:t>，部分公开</w:t>
      </w:r>
      <w:r>
        <w:rPr>
          <w:rStyle w:val="23"/>
          <w:rFonts w:hint="default" w:ascii="Times New Roman" w:hAnsi="Times New Roman" w:eastAsia="仿宋_GB2312" w:cs="Times New Roman"/>
          <w:color w:val="auto"/>
          <w:highlight w:val="none"/>
          <w:lang w:val="en-US" w:eastAsia="zh-CN"/>
        </w:rPr>
        <w:t>4</w:t>
      </w:r>
      <w:r>
        <w:rPr>
          <w:rStyle w:val="23"/>
          <w:rFonts w:hint="default" w:ascii="Times New Roman" w:hAnsi="Times New Roman" w:eastAsia="仿宋_GB2312" w:cs="Times New Roman"/>
          <w:color w:val="auto"/>
          <w:highlight w:val="none"/>
        </w:rPr>
        <w:t>件、本机关不掌握相关政府信息无法提供</w:t>
      </w:r>
      <w:r>
        <w:rPr>
          <w:rStyle w:val="23"/>
          <w:rFonts w:hint="default" w:ascii="Times New Roman" w:hAnsi="Times New Roman" w:eastAsia="仿宋_GB2312" w:cs="Times New Roman"/>
          <w:color w:val="auto"/>
          <w:highlight w:val="none"/>
          <w:lang w:val="en-US" w:eastAsia="zh-CN"/>
        </w:rPr>
        <w:t>1</w:t>
      </w:r>
      <w:r>
        <w:rPr>
          <w:rStyle w:val="23"/>
          <w:rFonts w:hint="default" w:ascii="Times New Roman" w:hAnsi="Times New Roman" w:eastAsia="仿宋_GB2312" w:cs="Times New Roman"/>
          <w:color w:val="auto"/>
          <w:highlight w:val="none"/>
        </w:rPr>
        <w:t>件、</w:t>
      </w:r>
      <w:r>
        <w:rPr>
          <w:rStyle w:val="23"/>
          <w:rFonts w:hint="default" w:ascii="Times New Roman" w:hAnsi="Times New Roman" w:eastAsia="仿宋_GB2312" w:cs="Times New Roman"/>
          <w:color w:val="auto"/>
          <w:highlight w:val="none"/>
          <w:lang w:eastAsia="zh-CN"/>
        </w:rPr>
        <w:t>保护第三方合法利益不予公开</w:t>
      </w:r>
      <w:r>
        <w:rPr>
          <w:rStyle w:val="23"/>
          <w:rFonts w:hint="default" w:ascii="Times New Roman" w:hAnsi="Times New Roman" w:eastAsia="仿宋_GB2312" w:cs="Times New Roman"/>
          <w:color w:val="auto"/>
          <w:highlight w:val="none"/>
        </w:rPr>
        <w:t>1件。无向政府信息公开申请人进行收费的情况。无因政府信息公开引起的行政复议和行政诉讼。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30"/>
        <w:jc w:val="both"/>
        <w:rPr>
          <w:rFonts w:hint="default" w:ascii="Times New Roman" w:hAnsi="Times New Roman" w:eastAsia="楷体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楷体" w:cs="Times New Roman"/>
          <w:b w:val="0"/>
          <w:bCs w:val="0"/>
          <w:color w:val="auto"/>
          <w:sz w:val="32"/>
          <w:szCs w:val="32"/>
        </w:rPr>
        <w:t>3.政府信息管理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30"/>
        <w:jc w:val="both"/>
        <w:rPr>
          <w:rStyle w:val="23"/>
          <w:rFonts w:hint="default" w:ascii="Times New Roman" w:hAnsi="Times New Roman" w:eastAsia="仿宋_GB2312" w:cs="Times New Roman"/>
          <w:color w:val="auto"/>
          <w:highlight w:val="none"/>
        </w:rPr>
      </w:pPr>
      <w:r>
        <w:rPr>
          <w:rStyle w:val="23"/>
          <w:rFonts w:hint="default" w:ascii="Times New Roman" w:hAnsi="Times New Roman" w:eastAsia="仿宋_GB2312" w:cs="Times New Roman"/>
          <w:color w:val="auto"/>
          <w:highlight w:val="none"/>
          <w:lang w:eastAsia="zh-CN"/>
        </w:rPr>
        <w:t>一方面，严格执行内容发布审核制度，坚持先审后发机制，落实保密审查责任，严禁涉密信息上网公开，避免出现信息质量不高、审核把关不严、管理底数不清、政务新媒体功能定位不清等问题</w:t>
      </w:r>
      <w:r>
        <w:rPr>
          <w:rStyle w:val="23"/>
          <w:rFonts w:hint="default" w:ascii="Times New Roman" w:hAnsi="Times New Roman" w:eastAsia="仿宋_GB2312" w:cs="Times New Roman"/>
          <w:color w:val="auto"/>
          <w:highlight w:val="none"/>
        </w:rPr>
        <w:t>；</w:t>
      </w:r>
      <w:r>
        <w:rPr>
          <w:rStyle w:val="23"/>
          <w:rFonts w:hint="default" w:ascii="Times New Roman" w:hAnsi="Times New Roman" w:eastAsia="仿宋_GB2312" w:cs="Times New Roman"/>
          <w:color w:val="auto"/>
          <w:highlight w:val="none"/>
          <w:lang w:eastAsia="zh-CN"/>
        </w:rPr>
        <w:t>另一方面，</w:t>
      </w:r>
      <w:r>
        <w:rPr>
          <w:rStyle w:val="23"/>
          <w:rFonts w:hint="default" w:ascii="Times New Roman" w:hAnsi="Times New Roman" w:eastAsia="仿宋_GB2312" w:cs="Times New Roman"/>
          <w:color w:val="auto"/>
          <w:highlight w:val="none"/>
        </w:rPr>
        <w:t>注重对政府信息的全生命周期管理</w:t>
      </w:r>
      <w:r>
        <w:rPr>
          <w:rStyle w:val="23"/>
          <w:rFonts w:hint="default" w:ascii="Times New Roman" w:hAnsi="Times New Roman" w:eastAsia="仿宋_GB2312" w:cs="Times New Roman"/>
          <w:color w:val="auto"/>
          <w:highlight w:val="none"/>
          <w:lang w:eastAsia="zh-CN"/>
        </w:rPr>
        <w:t>，</w:t>
      </w:r>
      <w:r>
        <w:rPr>
          <w:rStyle w:val="23"/>
          <w:rFonts w:hint="default" w:ascii="Times New Roman" w:hAnsi="Times New Roman" w:eastAsia="仿宋_GB2312" w:cs="Times New Roman"/>
          <w:color w:val="auto"/>
          <w:highlight w:val="none"/>
        </w:rPr>
        <w:t>落实规范性文件制发审批、清理工作流程，202</w:t>
      </w:r>
      <w:r>
        <w:rPr>
          <w:rStyle w:val="23"/>
          <w:rFonts w:hint="default" w:ascii="Times New Roman" w:hAnsi="Times New Roman" w:eastAsia="仿宋_GB2312" w:cs="Times New Roman"/>
          <w:color w:val="auto"/>
          <w:highlight w:val="none"/>
          <w:lang w:val="en-US" w:eastAsia="zh-CN"/>
        </w:rPr>
        <w:t>2</w:t>
      </w:r>
      <w:r>
        <w:rPr>
          <w:rStyle w:val="23"/>
          <w:rFonts w:hint="default" w:ascii="Times New Roman" w:hAnsi="Times New Roman" w:eastAsia="仿宋_GB2312" w:cs="Times New Roman"/>
          <w:color w:val="auto"/>
          <w:highlight w:val="none"/>
        </w:rPr>
        <w:t>年共制发规范性文件</w:t>
      </w:r>
      <w:r>
        <w:rPr>
          <w:rStyle w:val="23"/>
          <w:rFonts w:hint="default" w:ascii="Times New Roman" w:hAnsi="Times New Roman" w:eastAsia="仿宋_GB2312" w:cs="Times New Roman"/>
          <w:color w:val="auto"/>
          <w:highlight w:val="none"/>
          <w:lang w:val="en-US" w:eastAsia="zh-CN"/>
        </w:rPr>
        <w:t>0</w:t>
      </w:r>
      <w:r>
        <w:rPr>
          <w:rStyle w:val="23"/>
          <w:rFonts w:hint="default" w:ascii="Times New Roman" w:hAnsi="Times New Roman" w:eastAsia="仿宋_GB2312" w:cs="Times New Roman"/>
          <w:color w:val="auto"/>
          <w:highlight w:val="none"/>
        </w:rPr>
        <w:t>件，废止</w:t>
      </w:r>
      <w:r>
        <w:rPr>
          <w:rStyle w:val="23"/>
          <w:rFonts w:hint="default" w:ascii="Times New Roman" w:hAnsi="Times New Roman" w:eastAsia="仿宋_GB2312" w:cs="Times New Roman"/>
          <w:color w:val="auto"/>
          <w:highlight w:val="none"/>
          <w:lang w:eastAsia="zh-CN"/>
        </w:rPr>
        <w:t>（宣布失效）</w:t>
      </w:r>
      <w:r>
        <w:rPr>
          <w:rStyle w:val="23"/>
          <w:rFonts w:hint="default" w:ascii="Times New Roman" w:hAnsi="Times New Roman" w:eastAsia="仿宋_GB2312" w:cs="Times New Roman"/>
          <w:color w:val="auto"/>
          <w:highlight w:val="none"/>
          <w:lang w:val="en-US" w:eastAsia="zh-CN"/>
        </w:rPr>
        <w:t>1</w:t>
      </w:r>
      <w:r>
        <w:rPr>
          <w:rStyle w:val="23"/>
          <w:rFonts w:hint="default" w:ascii="Times New Roman" w:hAnsi="Times New Roman" w:eastAsia="仿宋_GB2312" w:cs="Times New Roman"/>
          <w:color w:val="auto"/>
          <w:highlight w:val="none"/>
        </w:rPr>
        <w:t>件，现行有效1</w:t>
      </w:r>
      <w:r>
        <w:rPr>
          <w:rStyle w:val="23"/>
          <w:rFonts w:hint="default" w:ascii="Times New Roman" w:hAnsi="Times New Roman" w:eastAsia="仿宋_GB2312" w:cs="Times New Roman"/>
          <w:color w:val="auto"/>
          <w:highlight w:val="none"/>
          <w:lang w:val="en-US" w:eastAsia="zh-CN"/>
        </w:rPr>
        <w:t>0</w:t>
      </w:r>
      <w:r>
        <w:rPr>
          <w:rStyle w:val="23"/>
          <w:rFonts w:hint="default" w:ascii="Times New Roman" w:hAnsi="Times New Roman" w:eastAsia="仿宋_GB2312" w:cs="Times New Roman"/>
          <w:color w:val="auto"/>
          <w:highlight w:val="none"/>
        </w:rPr>
        <w:t>件。</w:t>
      </w:r>
    </w:p>
    <w:p>
      <w:pPr>
        <w:ind w:firstLine="640" w:firstLineChars="200"/>
        <w:jc w:val="both"/>
        <w:rPr>
          <w:rFonts w:hint="default" w:ascii="Times New Roman" w:hAnsi="Times New Roman" w:eastAsia="楷体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楷体" w:cs="Times New Roman"/>
          <w:b w:val="0"/>
          <w:bCs w:val="0"/>
          <w:color w:val="auto"/>
          <w:sz w:val="32"/>
          <w:szCs w:val="32"/>
        </w:rPr>
        <w:t>4.政府信息公开平台建设</w:t>
      </w:r>
    </w:p>
    <w:p>
      <w:pPr>
        <w:ind w:firstLine="640" w:firstLineChars="200"/>
        <w:jc w:val="both"/>
        <w:rPr>
          <w:rStyle w:val="23"/>
          <w:rFonts w:hint="default" w:ascii="Times New Roman" w:hAnsi="Times New Roman" w:eastAsia="仿宋_GB2312" w:cs="Times New Roman"/>
          <w:color w:val="auto"/>
          <w:highlight w:val="none"/>
          <w:lang w:eastAsia="zh-CN"/>
        </w:rPr>
      </w:pPr>
      <w:r>
        <w:rPr>
          <w:rStyle w:val="23"/>
          <w:rFonts w:hint="default" w:ascii="Times New Roman" w:hAnsi="Times New Roman" w:eastAsia="仿宋_GB2312" w:cs="Times New Roman"/>
          <w:color w:val="auto"/>
          <w:highlight w:val="none"/>
        </w:rPr>
        <w:t>202</w:t>
      </w:r>
      <w:r>
        <w:rPr>
          <w:rStyle w:val="23"/>
          <w:rFonts w:hint="default" w:ascii="Times New Roman" w:hAnsi="Times New Roman" w:eastAsia="仿宋_GB2312" w:cs="Times New Roman"/>
          <w:color w:val="auto"/>
          <w:highlight w:val="none"/>
          <w:lang w:val="en-US" w:eastAsia="zh-CN"/>
        </w:rPr>
        <w:t>2</w:t>
      </w:r>
      <w:r>
        <w:rPr>
          <w:rStyle w:val="23"/>
          <w:rFonts w:hint="default" w:ascii="Times New Roman" w:hAnsi="Times New Roman" w:eastAsia="仿宋_GB2312" w:cs="Times New Roman"/>
          <w:color w:val="auto"/>
          <w:highlight w:val="none"/>
        </w:rPr>
        <w:t>年，</w:t>
      </w:r>
      <w:r>
        <w:rPr>
          <w:rStyle w:val="23"/>
          <w:rFonts w:hint="default" w:ascii="Times New Roman" w:hAnsi="Times New Roman" w:eastAsia="仿宋_GB2312" w:cs="Times New Roman"/>
          <w:color w:val="auto"/>
          <w:highlight w:val="none"/>
          <w:lang w:eastAsia="zh-CN"/>
        </w:rPr>
        <w:t>临港区认真落实上级政务公开工作要点、政务公开重点工作要求，结合工作实际，聚焦公开内容，重新调整管委门户网站法定主动公开内容、企事业单位信息公开，新建无证明城市</w:t>
      </w:r>
      <w:r>
        <w:rPr>
          <w:rStyle w:val="23"/>
          <w:rFonts w:hint="eastAsia" w:ascii="Times New Roman" w:hAnsi="Times New Roman" w:eastAsia="仿宋_GB2312" w:cs="Times New Roman"/>
          <w:color w:val="auto"/>
          <w:highlight w:val="none"/>
          <w:lang w:eastAsia="zh-CN"/>
        </w:rPr>
        <w:t>、</w:t>
      </w:r>
      <w:r>
        <w:rPr>
          <w:rStyle w:val="23"/>
          <w:rFonts w:hint="default" w:ascii="Times New Roman" w:hAnsi="Times New Roman" w:eastAsia="仿宋_GB2312" w:cs="Times New Roman"/>
          <w:color w:val="auto"/>
          <w:highlight w:val="none"/>
          <w:lang w:eastAsia="zh-CN"/>
        </w:rPr>
        <w:t>社会救助领域基层政务公开</w:t>
      </w:r>
      <w:r>
        <w:rPr>
          <w:rStyle w:val="23"/>
          <w:rFonts w:hint="eastAsia" w:ascii="Times New Roman" w:hAnsi="Times New Roman" w:eastAsia="仿宋_GB2312" w:cs="Times New Roman"/>
          <w:color w:val="auto"/>
          <w:highlight w:val="none"/>
          <w:lang w:eastAsia="zh-CN"/>
        </w:rPr>
        <w:t>、</w:t>
      </w:r>
      <w:r>
        <w:rPr>
          <w:rStyle w:val="23"/>
          <w:rFonts w:hint="default" w:ascii="Times New Roman" w:hAnsi="Times New Roman" w:eastAsia="仿宋_GB2312" w:cs="Times New Roman"/>
          <w:color w:val="auto"/>
          <w:highlight w:val="none"/>
          <w:lang w:eastAsia="zh-CN"/>
        </w:rPr>
        <w:t>乡村振兴等专栏专题；</w:t>
      </w:r>
      <w:r>
        <w:rPr>
          <w:rStyle w:val="23"/>
          <w:rFonts w:hint="default" w:ascii="Times New Roman" w:hAnsi="Times New Roman" w:eastAsia="仿宋_GB2312" w:cs="Times New Roman"/>
          <w:color w:val="auto"/>
          <w:highlight w:val="none"/>
        </w:rPr>
        <w:t>加强政务新媒体管理，</w:t>
      </w:r>
      <w:r>
        <w:rPr>
          <w:rStyle w:val="23"/>
          <w:rFonts w:hint="default" w:ascii="Times New Roman" w:hAnsi="Times New Roman" w:eastAsia="仿宋_GB2312" w:cs="Times New Roman"/>
          <w:color w:val="auto"/>
          <w:highlight w:val="none"/>
          <w:lang w:eastAsia="zh-CN"/>
        </w:rPr>
        <w:t>严格落实</w:t>
      </w:r>
      <w:r>
        <w:rPr>
          <w:rStyle w:val="23"/>
          <w:rFonts w:hint="default" w:ascii="Times New Roman" w:hAnsi="Times New Roman" w:eastAsia="仿宋_GB2312" w:cs="Times New Roman"/>
          <w:color w:val="auto"/>
          <w:highlight w:val="none"/>
        </w:rPr>
        <w:t>微博、微信、抖音等政务新媒体日常维护和备案</w:t>
      </w:r>
      <w:r>
        <w:rPr>
          <w:rStyle w:val="23"/>
          <w:rFonts w:hint="default" w:ascii="Times New Roman" w:hAnsi="Times New Roman" w:eastAsia="仿宋_GB2312" w:cs="Times New Roman"/>
          <w:color w:val="auto"/>
          <w:highlight w:val="none"/>
          <w:lang w:eastAsia="zh-CN"/>
        </w:rPr>
        <w:t>规定</w:t>
      </w:r>
      <w:r>
        <w:rPr>
          <w:rStyle w:val="23"/>
          <w:rFonts w:hint="default" w:ascii="Times New Roman" w:hAnsi="Times New Roman" w:eastAsia="仿宋_GB2312" w:cs="Times New Roman"/>
          <w:color w:val="auto"/>
          <w:highlight w:val="none"/>
        </w:rPr>
        <w:t>，</w:t>
      </w:r>
      <w:r>
        <w:rPr>
          <w:rStyle w:val="23"/>
          <w:rFonts w:hint="default" w:ascii="Times New Roman" w:hAnsi="Times New Roman" w:eastAsia="仿宋_GB2312" w:cs="Times New Roman"/>
          <w:color w:val="auto"/>
          <w:highlight w:val="none"/>
          <w:lang w:eastAsia="zh-CN"/>
        </w:rPr>
        <w:t>关停未按规定备案账号</w:t>
      </w:r>
      <w:r>
        <w:rPr>
          <w:rStyle w:val="23"/>
          <w:rFonts w:hint="default" w:ascii="Times New Roman" w:hAnsi="Times New Roman" w:eastAsia="仿宋_GB2312" w:cs="Times New Roman"/>
          <w:color w:val="auto"/>
          <w:highlight w:val="none"/>
          <w:lang w:val="en-US" w:eastAsia="zh-CN"/>
        </w:rPr>
        <w:t>1个（临港文化中心）；</w:t>
      </w:r>
      <w:r>
        <w:rPr>
          <w:rStyle w:val="23"/>
          <w:rFonts w:hint="default" w:ascii="Times New Roman" w:hAnsi="Times New Roman" w:eastAsia="仿宋_GB2312" w:cs="Times New Roman"/>
          <w:color w:val="auto"/>
          <w:highlight w:val="none"/>
        </w:rPr>
        <w:t>在区行政审批服务中心、各镇便民服务大厅开设政府信</w:t>
      </w:r>
      <w:r>
        <w:rPr>
          <w:rStyle w:val="23"/>
          <w:rFonts w:hint="default" w:ascii="Times New Roman" w:hAnsi="Times New Roman" w:eastAsia="仿宋_GB2312" w:cs="Times New Roman"/>
          <w:color w:val="auto"/>
          <w:highlight w:val="none"/>
          <w:lang w:eastAsia="zh-CN"/>
        </w:rPr>
        <w:t>息查阅点，配备公用电脑和查阅纸质材料专区等；依托市级平台，完善信息搜索、检索分类等功能，方便公众获取所需信息，助力区域经济和社会全面发展。</w:t>
      </w:r>
    </w:p>
    <w:p>
      <w:pPr>
        <w:spacing w:line="576" w:lineRule="exact"/>
        <w:ind w:firstLine="640" w:firstLineChars="200"/>
        <w:rPr>
          <w:rFonts w:hint="default" w:ascii="Times New Roman" w:hAnsi="Times New Roman" w:eastAsia="楷体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楷体" w:cs="Times New Roman"/>
          <w:b w:val="0"/>
          <w:bCs w:val="0"/>
          <w:color w:val="auto"/>
          <w:sz w:val="32"/>
          <w:szCs w:val="32"/>
        </w:rPr>
        <w:t>5.监督保障</w:t>
      </w:r>
    </w:p>
    <w:p>
      <w:pPr>
        <w:spacing w:line="576" w:lineRule="exact"/>
        <w:ind w:firstLine="640" w:firstLineChars="200"/>
        <w:rPr>
          <w:rStyle w:val="23"/>
          <w:rFonts w:hint="default" w:ascii="Times New Roman" w:hAnsi="Times New Roman" w:eastAsia="仿宋_GB2312" w:cs="Times New Roman"/>
          <w:color w:val="auto"/>
          <w:highlight w:val="none"/>
          <w:lang w:eastAsia="zh-CN"/>
        </w:rPr>
      </w:pPr>
      <w:r>
        <w:rPr>
          <w:rStyle w:val="23"/>
          <w:rFonts w:hint="default" w:ascii="Times New Roman" w:hAnsi="Times New Roman" w:eastAsia="仿宋_GB2312" w:cs="Times New Roman"/>
          <w:color w:val="auto"/>
          <w:highlight w:val="none"/>
          <w:lang w:eastAsia="zh-CN"/>
        </w:rPr>
        <w:t>一是连续多年将政务公开工作纳入区级年度考核，在往年基础上，细化《202</w:t>
      </w:r>
      <w:r>
        <w:rPr>
          <w:rStyle w:val="23"/>
          <w:rFonts w:hint="default" w:ascii="Times New Roman" w:hAnsi="Times New Roman" w:eastAsia="仿宋_GB2312" w:cs="Times New Roman"/>
          <w:color w:val="auto"/>
          <w:highlight w:val="none"/>
          <w:lang w:val="en-US" w:eastAsia="zh-CN"/>
        </w:rPr>
        <w:t>2</w:t>
      </w:r>
      <w:r>
        <w:rPr>
          <w:rStyle w:val="23"/>
          <w:rFonts w:hint="default" w:ascii="Times New Roman" w:hAnsi="Times New Roman" w:eastAsia="仿宋_GB2312" w:cs="Times New Roman"/>
          <w:color w:val="auto"/>
          <w:highlight w:val="none"/>
          <w:lang w:eastAsia="zh-CN"/>
        </w:rPr>
        <w:t>年临港区政务公开考核标准》指标体系；二是明确了各单位职责分工，要求各成员单位至少有1名人员负责网站内容建设和政府信息公开工作，组织开展政务公开业务培训</w:t>
      </w:r>
      <w:r>
        <w:rPr>
          <w:rStyle w:val="23"/>
          <w:rFonts w:hint="default" w:ascii="Times New Roman" w:hAnsi="Times New Roman" w:eastAsia="仿宋_GB2312" w:cs="Times New Roman"/>
          <w:color w:val="auto"/>
          <w:highlight w:val="none"/>
          <w:lang w:val="en-US" w:eastAsia="zh-CN"/>
        </w:rPr>
        <w:t>4</w:t>
      </w:r>
      <w:r>
        <w:rPr>
          <w:rStyle w:val="23"/>
          <w:rFonts w:hint="default" w:ascii="Times New Roman" w:hAnsi="Times New Roman" w:eastAsia="仿宋_GB2312" w:cs="Times New Roman"/>
          <w:color w:val="auto"/>
          <w:highlight w:val="none"/>
          <w:lang w:eastAsia="zh-CN"/>
        </w:rPr>
        <w:t>次；三是定期检查管委门户网站及政务新媒体各栏目存在的问题，发现问题第一时间整改，本年度未收到政府信息公开有关的投诉、举报，也无其他责任追究的情形。</w:t>
      </w:r>
    </w:p>
    <w:p>
      <w:pPr>
        <w:spacing w:line="576" w:lineRule="exact"/>
        <w:ind w:firstLine="640" w:firstLineChars="200"/>
        <w:rPr>
          <w:rStyle w:val="23"/>
          <w:rFonts w:hint="default" w:ascii="Times New Roman" w:hAnsi="Times New Roman" w:eastAsia="仿宋_GB2312" w:cs="Times New Roman"/>
          <w:color w:val="auto"/>
          <w:highlight w:val="none"/>
          <w:lang w:eastAsia="zh-CN"/>
        </w:rPr>
      </w:pPr>
    </w:p>
    <w:p>
      <w:pPr>
        <w:spacing w:line="576" w:lineRule="exact"/>
        <w:ind w:firstLine="640" w:firstLineChars="200"/>
        <w:rPr>
          <w:rStyle w:val="23"/>
          <w:rFonts w:hint="default" w:ascii="Times New Roman" w:hAnsi="Times New Roman" w:eastAsia="仿宋_GB2312" w:cs="Times New Roman"/>
          <w:color w:val="auto"/>
          <w:highlight w:val="none"/>
          <w:lang w:eastAsia="zh-CN"/>
        </w:rPr>
      </w:pPr>
    </w:p>
    <w:p>
      <w:pPr>
        <w:numPr>
          <w:ilvl w:val="0"/>
          <w:numId w:val="1"/>
        </w:numPr>
        <w:spacing w:line="576" w:lineRule="exact"/>
        <w:ind w:firstLine="640" w:firstLineChars="200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主动公开政府信息情况统计表</w:t>
      </w:r>
    </w:p>
    <w:p>
      <w:pPr>
        <w:rPr>
          <w:rFonts w:hint="default" w:ascii="Times New Roman" w:hAnsi="Times New Roman" w:eastAsia="黑体" w:cs="Times New Roman"/>
          <w:color w:val="auto"/>
          <w:szCs w:val="21"/>
        </w:rPr>
      </w:pPr>
    </w:p>
    <w:tbl>
      <w:tblPr>
        <w:tblStyle w:val="8"/>
        <w:tblW w:w="886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5"/>
        <w:gridCol w:w="2215"/>
        <w:gridCol w:w="2215"/>
        <w:gridCol w:w="221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  <w:jc w:val="center"/>
        </w:trPr>
        <w:tc>
          <w:tcPr>
            <w:tcW w:w="886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第二十条第（一）项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  <w:jc w:val="center"/>
        </w:trPr>
        <w:tc>
          <w:tcPr>
            <w:tcW w:w="22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信息内容</w:t>
            </w:r>
          </w:p>
        </w:tc>
        <w:tc>
          <w:tcPr>
            <w:tcW w:w="221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本年制发件数</w:t>
            </w:r>
          </w:p>
        </w:tc>
        <w:tc>
          <w:tcPr>
            <w:tcW w:w="221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本年废止件数</w:t>
            </w:r>
          </w:p>
        </w:tc>
        <w:tc>
          <w:tcPr>
            <w:tcW w:w="221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现行有效件数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  <w:jc w:val="center"/>
        </w:trPr>
        <w:tc>
          <w:tcPr>
            <w:tcW w:w="22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规章</w:t>
            </w:r>
          </w:p>
        </w:tc>
        <w:tc>
          <w:tcPr>
            <w:tcW w:w="221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  <w:tc>
          <w:tcPr>
            <w:tcW w:w="221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  <w:tc>
          <w:tcPr>
            <w:tcW w:w="221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  <w:jc w:val="center"/>
        </w:trPr>
        <w:tc>
          <w:tcPr>
            <w:tcW w:w="22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行政规范性文件</w:t>
            </w:r>
          </w:p>
        </w:tc>
        <w:tc>
          <w:tcPr>
            <w:tcW w:w="221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1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221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1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  <w:jc w:val="center"/>
        </w:trPr>
        <w:tc>
          <w:tcPr>
            <w:tcW w:w="886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第二十条第（五）项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  <w:jc w:val="center"/>
        </w:trPr>
        <w:tc>
          <w:tcPr>
            <w:tcW w:w="22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信息内容</w:t>
            </w:r>
          </w:p>
        </w:tc>
        <w:tc>
          <w:tcPr>
            <w:tcW w:w="664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本年处理决定数量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  <w:jc w:val="center"/>
        </w:trPr>
        <w:tc>
          <w:tcPr>
            <w:tcW w:w="22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行政许可</w:t>
            </w:r>
          </w:p>
        </w:tc>
        <w:tc>
          <w:tcPr>
            <w:tcW w:w="664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5516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  <w:jc w:val="center"/>
        </w:trPr>
        <w:tc>
          <w:tcPr>
            <w:tcW w:w="886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第二十条第（六）项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  <w:jc w:val="center"/>
        </w:trPr>
        <w:tc>
          <w:tcPr>
            <w:tcW w:w="22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信息内容</w:t>
            </w:r>
          </w:p>
        </w:tc>
        <w:tc>
          <w:tcPr>
            <w:tcW w:w="664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本年处理决定数量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  <w:jc w:val="center"/>
        </w:trPr>
        <w:tc>
          <w:tcPr>
            <w:tcW w:w="22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行政处罚</w:t>
            </w:r>
          </w:p>
        </w:tc>
        <w:tc>
          <w:tcPr>
            <w:tcW w:w="664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301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  <w:jc w:val="center"/>
        </w:trPr>
        <w:tc>
          <w:tcPr>
            <w:tcW w:w="22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行政强制</w:t>
            </w:r>
          </w:p>
        </w:tc>
        <w:tc>
          <w:tcPr>
            <w:tcW w:w="664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13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  <w:jc w:val="center"/>
        </w:trPr>
        <w:tc>
          <w:tcPr>
            <w:tcW w:w="886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第二十条第（八）项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  <w:jc w:val="center"/>
        </w:trPr>
        <w:tc>
          <w:tcPr>
            <w:tcW w:w="22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信息内容</w:t>
            </w:r>
          </w:p>
        </w:tc>
        <w:tc>
          <w:tcPr>
            <w:tcW w:w="664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22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行政事业性收费</w:t>
            </w:r>
          </w:p>
        </w:tc>
        <w:tc>
          <w:tcPr>
            <w:tcW w:w="664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246</w:t>
            </w:r>
          </w:p>
        </w:tc>
      </w:tr>
    </w:tbl>
    <w:p>
      <w:pPr>
        <w:numPr>
          <w:ilvl w:val="0"/>
          <w:numId w:val="0"/>
        </w:numPr>
        <w:spacing w:line="576" w:lineRule="exact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</w:p>
    <w:p>
      <w:pPr>
        <w:numPr>
          <w:ilvl w:val="0"/>
          <w:numId w:val="2"/>
        </w:numPr>
        <w:spacing w:line="576" w:lineRule="exact"/>
        <w:ind w:firstLine="640" w:firstLineChars="200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收到和处理政府信息公开申请情况</w:t>
      </w:r>
    </w:p>
    <w:p>
      <w:pPr>
        <w:rPr>
          <w:rFonts w:hint="default" w:ascii="Times New Roman" w:hAnsi="Times New Roman" w:eastAsia="黑体" w:cs="Times New Roman"/>
          <w:color w:val="auto"/>
          <w:szCs w:val="21"/>
        </w:rPr>
      </w:pPr>
    </w:p>
    <w:tbl>
      <w:tblPr>
        <w:tblStyle w:val="8"/>
        <w:tblW w:w="9382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6"/>
        <w:gridCol w:w="1702"/>
        <w:gridCol w:w="2979"/>
        <w:gridCol w:w="655"/>
        <w:gridCol w:w="570"/>
        <w:gridCol w:w="540"/>
        <w:gridCol w:w="690"/>
        <w:gridCol w:w="705"/>
        <w:gridCol w:w="555"/>
        <w:gridCol w:w="570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5097" w:type="dxa"/>
            <w:gridSpan w:val="3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Cs w:val="21"/>
              </w:rPr>
              <w:t>（本列数据的勾稽关系为：第一项加第二项之和，</w:t>
            </w:r>
          </w:p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Cs w:val="21"/>
              </w:rPr>
              <w:t>等于第三项加第四项之和）</w:t>
            </w:r>
          </w:p>
        </w:tc>
        <w:tc>
          <w:tcPr>
            <w:tcW w:w="4285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申请人情况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atLeast"/>
          <w:jc w:val="center"/>
        </w:trPr>
        <w:tc>
          <w:tcPr>
            <w:tcW w:w="5097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655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自</w:t>
            </w:r>
          </w:p>
          <w:p>
            <w:pPr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然</w:t>
            </w:r>
          </w:p>
          <w:p>
            <w:pPr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人</w:t>
            </w:r>
          </w:p>
        </w:tc>
        <w:tc>
          <w:tcPr>
            <w:tcW w:w="3060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法人或其他组织</w:t>
            </w:r>
          </w:p>
        </w:tc>
        <w:tc>
          <w:tcPr>
            <w:tcW w:w="570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总计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  <w:jc w:val="center"/>
        </w:trPr>
        <w:tc>
          <w:tcPr>
            <w:tcW w:w="5097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655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5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40" w:lineRule="exact"/>
              <w:ind w:left="-106" w:leftChars="-51" w:right="-107" w:rightChars="-51" w:hanging="1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商业企业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40" w:lineRule="exact"/>
              <w:ind w:left="-107" w:leftChars="-51" w:right="-107" w:rightChars="-51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科研机构</w:t>
            </w:r>
          </w:p>
        </w:tc>
        <w:tc>
          <w:tcPr>
            <w:tcW w:w="69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40" w:lineRule="exact"/>
              <w:ind w:left="-107" w:leftChars="-51" w:right="-107" w:rightChars="-51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社会公益组织</w:t>
            </w:r>
          </w:p>
        </w:tc>
        <w:tc>
          <w:tcPr>
            <w:tcW w:w="70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40" w:lineRule="exact"/>
              <w:ind w:left="-106" w:leftChars="-51" w:right="-107" w:rightChars="-51" w:hanging="1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法律服务机构</w:t>
            </w:r>
          </w:p>
        </w:tc>
        <w:tc>
          <w:tcPr>
            <w:tcW w:w="55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40" w:lineRule="exact"/>
              <w:ind w:left="-63" w:leftChars="-30" w:right="-134" w:rightChars="-64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其他</w:t>
            </w:r>
          </w:p>
        </w:tc>
        <w:tc>
          <w:tcPr>
            <w:tcW w:w="570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  <w:jc w:val="center"/>
        </w:trPr>
        <w:tc>
          <w:tcPr>
            <w:tcW w:w="5097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一、</w:t>
            </w:r>
            <w:bookmarkStart w:id="1" w:name="_Hlk66973412"/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本年新收政府信息公开申请数量</w:t>
            </w:r>
            <w:bookmarkEnd w:id="1"/>
          </w:p>
        </w:tc>
        <w:tc>
          <w:tcPr>
            <w:tcW w:w="65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5</w:t>
            </w:r>
          </w:p>
        </w:tc>
        <w:tc>
          <w:tcPr>
            <w:tcW w:w="5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  <w:tc>
          <w:tcPr>
            <w:tcW w:w="69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  <w:tc>
          <w:tcPr>
            <w:tcW w:w="70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  <w:tc>
          <w:tcPr>
            <w:tcW w:w="55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  <w:tc>
          <w:tcPr>
            <w:tcW w:w="5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  <w:jc w:val="center"/>
        </w:trPr>
        <w:tc>
          <w:tcPr>
            <w:tcW w:w="5097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二、上年结转政府信息公开申请数量</w:t>
            </w:r>
          </w:p>
        </w:tc>
        <w:tc>
          <w:tcPr>
            <w:tcW w:w="65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  <w:tc>
          <w:tcPr>
            <w:tcW w:w="5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  <w:tc>
          <w:tcPr>
            <w:tcW w:w="69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  <w:tc>
          <w:tcPr>
            <w:tcW w:w="70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  <w:tc>
          <w:tcPr>
            <w:tcW w:w="55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  <w:tc>
          <w:tcPr>
            <w:tcW w:w="5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  <w:jc w:val="center"/>
        </w:trPr>
        <w:tc>
          <w:tcPr>
            <w:tcW w:w="416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after="180" w:line="240" w:lineRule="exact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三、本年度办理结果</w:t>
            </w:r>
          </w:p>
        </w:tc>
        <w:tc>
          <w:tcPr>
            <w:tcW w:w="468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（一）予以公开</w:t>
            </w:r>
          </w:p>
        </w:tc>
        <w:tc>
          <w:tcPr>
            <w:tcW w:w="65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  <w:tc>
          <w:tcPr>
            <w:tcW w:w="69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  <w:tc>
          <w:tcPr>
            <w:tcW w:w="70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  <w:tc>
          <w:tcPr>
            <w:tcW w:w="55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  <w:tc>
          <w:tcPr>
            <w:tcW w:w="5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468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（二）部分公开（</w:t>
            </w:r>
            <w:bookmarkStart w:id="2" w:name="_Hlk66973981"/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区分处理的，只计这一情形，不计其他情形</w:t>
            </w:r>
            <w:bookmarkEnd w:id="2"/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）</w:t>
            </w:r>
          </w:p>
        </w:tc>
        <w:tc>
          <w:tcPr>
            <w:tcW w:w="65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4</w:t>
            </w:r>
          </w:p>
        </w:tc>
        <w:tc>
          <w:tcPr>
            <w:tcW w:w="5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  <w:tc>
          <w:tcPr>
            <w:tcW w:w="69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  <w:tc>
          <w:tcPr>
            <w:tcW w:w="70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  <w:tc>
          <w:tcPr>
            <w:tcW w:w="55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  <w:tc>
          <w:tcPr>
            <w:tcW w:w="5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2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40" w:lineRule="exact"/>
              <w:ind w:left="-107" w:leftChars="-51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（三）不予公开</w:t>
            </w:r>
          </w:p>
        </w:tc>
        <w:tc>
          <w:tcPr>
            <w:tcW w:w="297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1.属于国家秘密</w:t>
            </w:r>
          </w:p>
        </w:tc>
        <w:tc>
          <w:tcPr>
            <w:tcW w:w="65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  <w:tc>
          <w:tcPr>
            <w:tcW w:w="5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  <w:tc>
          <w:tcPr>
            <w:tcW w:w="69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  <w:tc>
          <w:tcPr>
            <w:tcW w:w="70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  <w:tc>
          <w:tcPr>
            <w:tcW w:w="55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  <w:tc>
          <w:tcPr>
            <w:tcW w:w="5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2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97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2.</w:t>
            </w:r>
            <w:bookmarkStart w:id="3" w:name="_Hlk66974104"/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其他法律行政法规禁止公开</w:t>
            </w:r>
            <w:bookmarkEnd w:id="3"/>
          </w:p>
        </w:tc>
        <w:tc>
          <w:tcPr>
            <w:tcW w:w="65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  <w:tc>
          <w:tcPr>
            <w:tcW w:w="5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  <w:tc>
          <w:tcPr>
            <w:tcW w:w="69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  <w:tc>
          <w:tcPr>
            <w:tcW w:w="70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  <w:tc>
          <w:tcPr>
            <w:tcW w:w="55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  <w:tc>
          <w:tcPr>
            <w:tcW w:w="5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2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97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3.危及“三安全一稳定”</w:t>
            </w:r>
          </w:p>
        </w:tc>
        <w:tc>
          <w:tcPr>
            <w:tcW w:w="65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  <w:tc>
          <w:tcPr>
            <w:tcW w:w="5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  <w:tc>
          <w:tcPr>
            <w:tcW w:w="69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  <w:tc>
          <w:tcPr>
            <w:tcW w:w="70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  <w:tc>
          <w:tcPr>
            <w:tcW w:w="55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  <w:tc>
          <w:tcPr>
            <w:tcW w:w="5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2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97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4.</w:t>
            </w:r>
            <w:bookmarkStart w:id="4" w:name="_Hlk66974290"/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保护第三方合法权益</w:t>
            </w:r>
            <w:bookmarkEnd w:id="4"/>
          </w:p>
        </w:tc>
        <w:tc>
          <w:tcPr>
            <w:tcW w:w="65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  <w:tc>
          <w:tcPr>
            <w:tcW w:w="5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  <w:tc>
          <w:tcPr>
            <w:tcW w:w="69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  <w:tc>
          <w:tcPr>
            <w:tcW w:w="70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  <w:tc>
          <w:tcPr>
            <w:tcW w:w="55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  <w:tc>
          <w:tcPr>
            <w:tcW w:w="5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2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97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5.属于三类内部事务信息</w:t>
            </w:r>
          </w:p>
        </w:tc>
        <w:tc>
          <w:tcPr>
            <w:tcW w:w="65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  <w:tc>
          <w:tcPr>
            <w:tcW w:w="5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  <w:tc>
          <w:tcPr>
            <w:tcW w:w="69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  <w:tc>
          <w:tcPr>
            <w:tcW w:w="70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  <w:tc>
          <w:tcPr>
            <w:tcW w:w="55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  <w:tc>
          <w:tcPr>
            <w:tcW w:w="5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2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97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6.</w:t>
            </w:r>
            <w:bookmarkStart w:id="5" w:name="_Hlk66974555"/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属于四类过程性信息</w:t>
            </w:r>
            <w:bookmarkEnd w:id="5"/>
          </w:p>
        </w:tc>
        <w:tc>
          <w:tcPr>
            <w:tcW w:w="65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  <w:tc>
          <w:tcPr>
            <w:tcW w:w="5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  <w:tc>
          <w:tcPr>
            <w:tcW w:w="69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  <w:tc>
          <w:tcPr>
            <w:tcW w:w="70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  <w:tc>
          <w:tcPr>
            <w:tcW w:w="55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  <w:tc>
          <w:tcPr>
            <w:tcW w:w="5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2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97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7.属于行政执法案卷</w:t>
            </w:r>
          </w:p>
        </w:tc>
        <w:tc>
          <w:tcPr>
            <w:tcW w:w="65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  <w:tc>
          <w:tcPr>
            <w:tcW w:w="5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  <w:tc>
          <w:tcPr>
            <w:tcW w:w="69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  <w:tc>
          <w:tcPr>
            <w:tcW w:w="70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  <w:tc>
          <w:tcPr>
            <w:tcW w:w="55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  <w:tc>
          <w:tcPr>
            <w:tcW w:w="5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2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97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8.</w:t>
            </w:r>
            <w:bookmarkStart w:id="6" w:name="_Hlk66975211"/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属于行政查询事项</w:t>
            </w:r>
            <w:bookmarkEnd w:id="6"/>
          </w:p>
        </w:tc>
        <w:tc>
          <w:tcPr>
            <w:tcW w:w="65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  <w:tc>
          <w:tcPr>
            <w:tcW w:w="5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  <w:tc>
          <w:tcPr>
            <w:tcW w:w="69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  <w:tc>
          <w:tcPr>
            <w:tcW w:w="70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  <w:tc>
          <w:tcPr>
            <w:tcW w:w="55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  <w:tc>
          <w:tcPr>
            <w:tcW w:w="5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2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40" w:lineRule="exact"/>
              <w:ind w:left="-107" w:leftChars="-51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（四）无法提供</w:t>
            </w:r>
          </w:p>
        </w:tc>
        <w:tc>
          <w:tcPr>
            <w:tcW w:w="297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1.本机关不掌握相关政府信息</w:t>
            </w:r>
          </w:p>
        </w:tc>
        <w:tc>
          <w:tcPr>
            <w:tcW w:w="65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5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  <w:tc>
          <w:tcPr>
            <w:tcW w:w="69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  <w:tc>
          <w:tcPr>
            <w:tcW w:w="70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  <w:tc>
          <w:tcPr>
            <w:tcW w:w="55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  <w:tc>
          <w:tcPr>
            <w:tcW w:w="5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2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40" w:lineRule="exact"/>
              <w:ind w:left="-107" w:leftChars="-51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97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2.</w:t>
            </w:r>
            <w:bookmarkStart w:id="7" w:name="_Hlk66975392"/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没有现成信息需要另行制作</w:t>
            </w:r>
            <w:bookmarkEnd w:id="7"/>
          </w:p>
        </w:tc>
        <w:tc>
          <w:tcPr>
            <w:tcW w:w="65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  <w:tc>
          <w:tcPr>
            <w:tcW w:w="5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  <w:tc>
          <w:tcPr>
            <w:tcW w:w="69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  <w:tc>
          <w:tcPr>
            <w:tcW w:w="70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  <w:tc>
          <w:tcPr>
            <w:tcW w:w="55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  <w:tc>
          <w:tcPr>
            <w:tcW w:w="5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2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40" w:lineRule="exact"/>
              <w:ind w:left="-107" w:leftChars="-51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97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3.</w:t>
            </w:r>
            <w:bookmarkStart w:id="8" w:name="_Hlk66975466"/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补正后申请内容仍不明确</w:t>
            </w:r>
            <w:bookmarkEnd w:id="8"/>
          </w:p>
        </w:tc>
        <w:tc>
          <w:tcPr>
            <w:tcW w:w="65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  <w:tc>
          <w:tcPr>
            <w:tcW w:w="5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  <w:tc>
          <w:tcPr>
            <w:tcW w:w="69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  <w:tc>
          <w:tcPr>
            <w:tcW w:w="70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  <w:tc>
          <w:tcPr>
            <w:tcW w:w="55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  <w:tc>
          <w:tcPr>
            <w:tcW w:w="5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2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40" w:lineRule="exact"/>
              <w:ind w:left="-107" w:leftChars="-51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（五）不予处理</w:t>
            </w:r>
          </w:p>
        </w:tc>
        <w:tc>
          <w:tcPr>
            <w:tcW w:w="297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1.</w:t>
            </w:r>
            <w:bookmarkStart w:id="9" w:name="_Hlk66975537"/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信访举报投诉类申请</w:t>
            </w:r>
            <w:bookmarkEnd w:id="9"/>
          </w:p>
        </w:tc>
        <w:tc>
          <w:tcPr>
            <w:tcW w:w="65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  <w:tc>
          <w:tcPr>
            <w:tcW w:w="5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  <w:tc>
          <w:tcPr>
            <w:tcW w:w="69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  <w:tc>
          <w:tcPr>
            <w:tcW w:w="70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  <w:tc>
          <w:tcPr>
            <w:tcW w:w="55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  <w:tc>
          <w:tcPr>
            <w:tcW w:w="5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2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97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2.重复申请</w:t>
            </w:r>
          </w:p>
        </w:tc>
        <w:tc>
          <w:tcPr>
            <w:tcW w:w="65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  <w:tc>
          <w:tcPr>
            <w:tcW w:w="5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  <w:tc>
          <w:tcPr>
            <w:tcW w:w="69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  <w:tc>
          <w:tcPr>
            <w:tcW w:w="70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  <w:tc>
          <w:tcPr>
            <w:tcW w:w="55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  <w:tc>
          <w:tcPr>
            <w:tcW w:w="5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2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97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3.要求提供公开出版物</w:t>
            </w:r>
          </w:p>
        </w:tc>
        <w:tc>
          <w:tcPr>
            <w:tcW w:w="65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  <w:tc>
          <w:tcPr>
            <w:tcW w:w="5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  <w:tc>
          <w:tcPr>
            <w:tcW w:w="69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  <w:tc>
          <w:tcPr>
            <w:tcW w:w="70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  <w:tc>
          <w:tcPr>
            <w:tcW w:w="55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  <w:tc>
          <w:tcPr>
            <w:tcW w:w="5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2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97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4.无正当理由大量反复申请</w:t>
            </w:r>
          </w:p>
        </w:tc>
        <w:tc>
          <w:tcPr>
            <w:tcW w:w="65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  <w:tc>
          <w:tcPr>
            <w:tcW w:w="5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  <w:tc>
          <w:tcPr>
            <w:tcW w:w="69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  <w:tc>
          <w:tcPr>
            <w:tcW w:w="70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  <w:tc>
          <w:tcPr>
            <w:tcW w:w="55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  <w:tc>
          <w:tcPr>
            <w:tcW w:w="5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2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97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5.要求行政机关确认或重新</w:t>
            </w:r>
          </w:p>
          <w:p>
            <w:pPr>
              <w:spacing w:line="240" w:lineRule="exact"/>
              <w:ind w:firstLine="210" w:firstLineChars="100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出具已获取信息</w:t>
            </w:r>
          </w:p>
        </w:tc>
        <w:tc>
          <w:tcPr>
            <w:tcW w:w="65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  <w:tc>
          <w:tcPr>
            <w:tcW w:w="5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  <w:tc>
          <w:tcPr>
            <w:tcW w:w="69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  <w:tc>
          <w:tcPr>
            <w:tcW w:w="70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  <w:tc>
          <w:tcPr>
            <w:tcW w:w="55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  <w:tc>
          <w:tcPr>
            <w:tcW w:w="5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 w:hRule="atLeas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2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（六）其他处理</w:t>
            </w:r>
          </w:p>
        </w:tc>
        <w:tc>
          <w:tcPr>
            <w:tcW w:w="2979" w:type="dxa"/>
            <w:shd w:val="clear" w:color="auto" w:fill="auto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1.申请人无正当理由逾期不补正、行政机关不再处理其政府信息公开申请</w:t>
            </w:r>
          </w:p>
        </w:tc>
        <w:tc>
          <w:tcPr>
            <w:tcW w:w="65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  <w:tc>
          <w:tcPr>
            <w:tcW w:w="69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  <w:tc>
          <w:tcPr>
            <w:tcW w:w="70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  <w:tc>
          <w:tcPr>
            <w:tcW w:w="55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  <w:tc>
          <w:tcPr>
            <w:tcW w:w="5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 w:hRule="atLeas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2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</w:pPr>
          </w:p>
        </w:tc>
        <w:tc>
          <w:tcPr>
            <w:tcW w:w="2979" w:type="dxa"/>
            <w:shd w:val="clear" w:color="auto" w:fill="auto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2.申请人逾期未按收费通知要求缴纳费用、行政机关不再处理其政府信息公开申请</w:t>
            </w:r>
          </w:p>
        </w:tc>
        <w:tc>
          <w:tcPr>
            <w:tcW w:w="65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  <w:tc>
          <w:tcPr>
            <w:tcW w:w="5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  <w:tc>
          <w:tcPr>
            <w:tcW w:w="69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  <w:tc>
          <w:tcPr>
            <w:tcW w:w="70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  <w:tc>
          <w:tcPr>
            <w:tcW w:w="55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  <w:tc>
          <w:tcPr>
            <w:tcW w:w="5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2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</w:pPr>
          </w:p>
        </w:tc>
        <w:tc>
          <w:tcPr>
            <w:tcW w:w="2979" w:type="dxa"/>
            <w:shd w:val="clear" w:color="auto" w:fill="auto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3.其他</w:t>
            </w:r>
          </w:p>
        </w:tc>
        <w:tc>
          <w:tcPr>
            <w:tcW w:w="65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  <w:tc>
          <w:tcPr>
            <w:tcW w:w="5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  <w:tc>
          <w:tcPr>
            <w:tcW w:w="69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  <w:tc>
          <w:tcPr>
            <w:tcW w:w="70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  <w:tc>
          <w:tcPr>
            <w:tcW w:w="55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  <w:tc>
          <w:tcPr>
            <w:tcW w:w="5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468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（七）总计</w:t>
            </w:r>
          </w:p>
        </w:tc>
        <w:tc>
          <w:tcPr>
            <w:tcW w:w="65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5</w:t>
            </w:r>
          </w:p>
        </w:tc>
        <w:tc>
          <w:tcPr>
            <w:tcW w:w="5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  <w:tc>
          <w:tcPr>
            <w:tcW w:w="69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  <w:tc>
          <w:tcPr>
            <w:tcW w:w="70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  <w:tc>
          <w:tcPr>
            <w:tcW w:w="55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  <w:tc>
          <w:tcPr>
            <w:tcW w:w="5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  <w:jc w:val="center"/>
        </w:trPr>
        <w:tc>
          <w:tcPr>
            <w:tcW w:w="5097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四、结转下年度继续办理</w:t>
            </w:r>
          </w:p>
        </w:tc>
        <w:tc>
          <w:tcPr>
            <w:tcW w:w="65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  <w:tc>
          <w:tcPr>
            <w:tcW w:w="5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  <w:tc>
          <w:tcPr>
            <w:tcW w:w="69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  <w:tc>
          <w:tcPr>
            <w:tcW w:w="70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  <w:tc>
          <w:tcPr>
            <w:tcW w:w="55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  <w:tc>
          <w:tcPr>
            <w:tcW w:w="5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</w:tr>
    </w:tbl>
    <w:p>
      <w:pPr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sectPr>
          <w:footerReference r:id="rId3" w:type="default"/>
          <w:pgSz w:w="11906" w:h="16838"/>
          <w:pgMar w:top="1440" w:right="1474" w:bottom="1440" w:left="1588" w:header="851" w:footer="992" w:gutter="0"/>
          <w:cols w:space="425" w:num="1"/>
          <w:docGrid w:type="lines" w:linePitch="312" w:charSpace="0"/>
        </w:sectPr>
      </w:pPr>
    </w:p>
    <w:p>
      <w:pPr>
        <w:numPr>
          <w:ilvl w:val="0"/>
          <w:numId w:val="3"/>
        </w:numPr>
        <w:spacing w:line="576" w:lineRule="exact"/>
        <w:ind w:firstLine="640" w:firstLineChars="200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政府信息公开工作被申请行政复议、提起行政诉讼情况</w:t>
      </w:r>
    </w:p>
    <w:p>
      <w:pPr>
        <w:rPr>
          <w:rFonts w:hint="default" w:ascii="Times New Roman" w:hAnsi="Times New Roman" w:eastAsia="黑体" w:cs="Times New Roman"/>
          <w:color w:val="auto"/>
          <w:szCs w:val="21"/>
        </w:rPr>
      </w:pPr>
    </w:p>
    <w:tbl>
      <w:tblPr>
        <w:tblStyle w:val="8"/>
        <w:tblW w:w="907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ind w:left="-149" w:leftChars="-71" w:right="-170" w:rightChars="-81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结果</w:t>
            </w:r>
          </w:p>
          <w:p>
            <w:pPr>
              <w:ind w:left="-149" w:leftChars="-71" w:right="-170" w:rightChars="-81"/>
              <w:jc w:val="center"/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ind w:left="-43" w:leftChars="-21" w:right="-132" w:rightChars="-63" w:hanging="1"/>
              <w:jc w:val="center"/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ind w:left="-82" w:leftChars="-39" w:right="-97" w:rightChars="-46"/>
              <w:jc w:val="center"/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ind w:left="-118" w:leftChars="-56" w:right="-118" w:rightChars="-56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尚未</w:t>
            </w:r>
          </w:p>
          <w:p>
            <w:pPr>
              <w:ind w:left="-118" w:leftChars="-56" w:right="-118" w:rightChars="-56"/>
              <w:jc w:val="center"/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总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color w:val="auto"/>
              </w:rPr>
            </w:pPr>
            <w:bookmarkStart w:id="10" w:name="_Hlk67039688"/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复议后起诉</w:t>
            </w:r>
            <w:bookmarkEnd w:id="10"/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  <w:jc w:val="center"/>
        </w:trPr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auto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auto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auto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auto"/>
                <w:sz w:val="24"/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auto"/>
                <w:sz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ind w:left="-105" w:leftChars="-50" w:right="-126" w:rightChars="-60"/>
              <w:jc w:val="center"/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ind w:left="-86" w:leftChars="-41" w:right="-88" w:rightChars="-42"/>
              <w:jc w:val="center"/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ind w:left="-126" w:leftChars="-60" w:right="-136" w:rightChars="-65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其他</w:t>
            </w:r>
          </w:p>
          <w:p>
            <w:pPr>
              <w:ind w:left="-126" w:leftChars="-60" w:right="-136" w:rightChars="-65"/>
              <w:jc w:val="center"/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ind w:left="-164" w:leftChars="-78" w:right="-153" w:rightChars="-73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尚未</w:t>
            </w:r>
          </w:p>
          <w:p>
            <w:pPr>
              <w:ind w:left="-164" w:leftChars="-78" w:right="-153" w:rightChars="-73"/>
              <w:jc w:val="center"/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ind w:left="-99" w:leftChars="-47" w:right="-78" w:rightChars="-37"/>
              <w:jc w:val="center"/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ind w:left="-136" w:leftChars="-65" w:right="-124" w:rightChars="-59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结果</w:t>
            </w:r>
          </w:p>
          <w:p>
            <w:pPr>
              <w:ind w:left="-136" w:leftChars="-65" w:right="-124" w:rightChars="-59"/>
              <w:jc w:val="center"/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ind w:left="-173" w:leftChars="-83" w:right="-134" w:rightChars="-64" w:hanging="1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其他</w:t>
            </w:r>
          </w:p>
          <w:p>
            <w:pPr>
              <w:ind w:left="-173" w:leftChars="-83" w:right="-134" w:rightChars="-64" w:hanging="1"/>
              <w:jc w:val="center"/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ind w:left="-67" w:leftChars="-33" w:right="-105" w:rightChars="-50" w:hanging="2" w:hangingChars="1"/>
              <w:jc w:val="center"/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0</w:t>
            </w:r>
          </w:p>
        </w:tc>
      </w:tr>
    </w:tbl>
    <w:p>
      <w:pPr>
        <w:spacing w:line="576" w:lineRule="exact"/>
        <w:ind w:firstLine="640" w:firstLineChars="200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</w:p>
    <w:p>
      <w:pPr>
        <w:spacing w:line="576" w:lineRule="exact"/>
        <w:ind w:firstLine="640" w:firstLineChars="200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五、存在的主要问题及改进情况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right="0" w:firstLine="640" w:firstLineChars="200"/>
        <w:jc w:val="both"/>
        <w:textAlignment w:val="auto"/>
        <w:rPr>
          <w:rFonts w:hint="default" w:ascii="Times New Roman" w:hAnsi="Times New Roman" w:eastAsia="楷体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楷体" w:cs="Times New Roman"/>
          <w:color w:val="auto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楷体" w:cs="Times New Roman"/>
          <w:color w:val="auto"/>
          <w:sz w:val="32"/>
          <w:szCs w:val="32"/>
          <w:lang w:eastAsia="zh-CN"/>
        </w:rPr>
        <w:t>存在问题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Style w:val="23"/>
          <w:rFonts w:hint="default" w:ascii="Times New Roman" w:hAnsi="Times New Roman" w:cs="Times New Roman"/>
          <w:color w:val="auto"/>
          <w:kern w:val="2"/>
          <w:highlight w:val="none"/>
          <w:lang w:val="en-US" w:eastAsia="zh-CN" w:bidi="ar-SA"/>
        </w:rPr>
        <w:t>随着群众法律意识的增强，部分工作的依申请公开案件明显增加，存在个别单位对政府信息依申请公开工作不够重视、答复内容不规范等问题。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right="0" w:firstLine="640" w:firstLineChars="200"/>
        <w:jc w:val="both"/>
        <w:textAlignment w:val="auto"/>
        <w:rPr>
          <w:rFonts w:hint="default" w:ascii="Times New Roman" w:hAnsi="Times New Roman" w:eastAsia="楷体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楷体" w:cs="Times New Roman"/>
          <w:color w:val="auto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楷体" w:cs="Times New Roman"/>
          <w:color w:val="auto"/>
          <w:sz w:val="32"/>
          <w:szCs w:val="32"/>
          <w:lang w:eastAsia="zh-CN"/>
        </w:rPr>
        <w:t>下步举措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Style w:val="23"/>
          <w:rFonts w:hint="default" w:ascii="Times New Roman" w:hAnsi="Times New Roman" w:cs="Times New Roman"/>
          <w:color w:val="auto"/>
          <w:kern w:val="2"/>
          <w:highlight w:val="none"/>
          <w:lang w:val="en-US" w:eastAsia="zh-CN" w:bidi="ar-SA"/>
        </w:rPr>
        <w:t>落实政务公开各项规章制度，加强政务公开工作人员责任心；进一步规范办理流程，依托市级平台，做好登记、审核、办理、答复、归档等工作；借助专业法律顾问作用，确保依法依规、高质高效答复，提高政府工作透明度。</w:t>
      </w:r>
    </w:p>
    <w:p>
      <w:pPr>
        <w:spacing w:line="576" w:lineRule="exact"/>
        <w:ind w:firstLine="640" w:firstLineChars="200"/>
        <w:jc w:val="both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六、其他需要报告的事项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 w:firstLine="640" w:firstLineChars="200"/>
        <w:jc w:val="both"/>
        <w:rPr>
          <w:rFonts w:hint="default" w:ascii="Times New Roman" w:hAnsi="Times New Roman" w:eastAsia="楷体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楷体" w:cs="Times New Roman"/>
          <w:color w:val="auto"/>
          <w:kern w:val="2"/>
          <w:sz w:val="32"/>
          <w:szCs w:val="32"/>
          <w:lang w:val="en-US" w:eastAsia="zh-CN" w:bidi="ar-SA"/>
        </w:rPr>
        <w:t>1.收取信息处理费的情况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 w:firstLine="640" w:firstLineChars="200"/>
        <w:jc w:val="both"/>
        <w:rPr>
          <w:rStyle w:val="23"/>
          <w:rFonts w:hint="default" w:ascii="Times New Roman" w:hAnsi="Times New Roman" w:cs="Times New Roman"/>
          <w:color w:val="auto"/>
          <w:kern w:val="2"/>
          <w:highlight w:val="none"/>
          <w:lang w:val="en-US" w:eastAsia="zh-CN" w:bidi="ar-SA"/>
        </w:rPr>
      </w:pPr>
      <w:r>
        <w:rPr>
          <w:rStyle w:val="23"/>
          <w:rFonts w:hint="default" w:ascii="Times New Roman" w:hAnsi="Times New Roman" w:cs="Times New Roman"/>
          <w:color w:val="auto"/>
          <w:kern w:val="2"/>
          <w:highlight w:val="none"/>
          <w:lang w:val="en-US" w:eastAsia="zh-CN" w:bidi="ar-SA"/>
        </w:rPr>
        <w:t>本年度无向政府信息公开申请人进行收费的情况。</w:t>
      </w:r>
    </w:p>
    <w:p>
      <w:pPr>
        <w:spacing w:line="576" w:lineRule="exact"/>
        <w:ind w:firstLine="640" w:firstLineChars="200"/>
        <w:jc w:val="both"/>
        <w:rPr>
          <w:rFonts w:hint="default" w:ascii="Times New Roman" w:hAnsi="Times New Roman" w:eastAsia="楷体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" w:cs="Times New Roman"/>
          <w:color w:val="auto"/>
          <w:sz w:val="32"/>
          <w:szCs w:val="32"/>
          <w:lang w:val="en-US" w:eastAsia="zh-CN"/>
        </w:rPr>
        <w:t>2.人大代表建议和政协委员提案办理情况</w:t>
      </w:r>
    </w:p>
    <w:p>
      <w:pPr>
        <w:spacing w:line="576" w:lineRule="exact"/>
        <w:ind w:firstLine="640" w:firstLineChars="200"/>
        <w:jc w:val="both"/>
        <w:rPr>
          <w:rStyle w:val="23"/>
          <w:rFonts w:hint="default" w:ascii="Times New Roman" w:hAnsi="Times New Roman" w:eastAsia="仿宋_GB2312" w:cs="Times New Roman"/>
          <w:color w:val="auto"/>
          <w:highlight w:val="none"/>
        </w:rPr>
      </w:pPr>
      <w:r>
        <w:rPr>
          <w:rStyle w:val="23"/>
          <w:rFonts w:hint="default" w:ascii="Times New Roman" w:hAnsi="Times New Roman" w:eastAsia="仿宋_GB2312" w:cs="Times New Roman"/>
          <w:color w:val="auto"/>
          <w:highlight w:val="none"/>
        </w:rPr>
        <w:t>本年度临港区人大代表、政协委员提案涉及层面均为市级层面，无我区需要协调或办理的情况。</w:t>
      </w:r>
    </w:p>
    <w:p>
      <w:pPr>
        <w:spacing w:line="576" w:lineRule="exact"/>
        <w:ind w:firstLine="640" w:firstLineChars="200"/>
        <w:rPr>
          <w:rFonts w:hint="default" w:ascii="Times New Roman" w:hAnsi="Times New Roman" w:eastAsia="楷体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楷体" w:cs="Times New Roman"/>
          <w:color w:val="auto"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楷体" w:cs="Times New Roman"/>
          <w:color w:val="auto"/>
          <w:sz w:val="32"/>
          <w:szCs w:val="32"/>
        </w:rPr>
        <w:t>政务公开工作创新情况</w:t>
      </w:r>
    </w:p>
    <w:p>
      <w:pPr>
        <w:spacing w:line="576" w:lineRule="exact"/>
        <w:ind w:firstLine="640" w:firstLineChars="200"/>
        <w:rPr>
          <w:rStyle w:val="23"/>
          <w:rFonts w:hint="default" w:ascii="Times New Roman" w:hAnsi="Times New Roman" w:eastAsia="仿宋_GB2312" w:cs="Times New Roman"/>
          <w:color w:val="auto"/>
          <w:highlight w:val="none"/>
          <w:lang w:val="en-US" w:eastAsia="zh-CN"/>
        </w:rPr>
      </w:pPr>
      <w:r>
        <w:rPr>
          <w:rStyle w:val="23"/>
          <w:rFonts w:hint="default" w:ascii="Times New Roman" w:hAnsi="Times New Roman" w:eastAsia="仿宋_GB2312" w:cs="Times New Roman"/>
          <w:color w:val="auto"/>
          <w:highlight w:val="none"/>
          <w:lang w:eastAsia="zh-CN"/>
        </w:rPr>
        <w:t>重新调整管委门户网站法定主动公开内容，重新梳理各相关栏目；理顺企事业单位信息公开，涉及</w:t>
      </w:r>
      <w:r>
        <w:rPr>
          <w:rStyle w:val="23"/>
          <w:rFonts w:hint="default" w:ascii="Times New Roman" w:hAnsi="Times New Roman" w:eastAsia="仿宋_GB2312" w:cs="Times New Roman"/>
          <w:color w:val="auto"/>
          <w:highlight w:val="none"/>
        </w:rPr>
        <w:t>教育领域</w:t>
      </w:r>
      <w:r>
        <w:rPr>
          <w:rStyle w:val="23"/>
          <w:rFonts w:hint="default" w:ascii="Times New Roman" w:hAnsi="Times New Roman" w:eastAsia="仿宋_GB2312" w:cs="Times New Roman"/>
          <w:color w:val="auto"/>
          <w:highlight w:val="none"/>
          <w:lang w:val="en-US" w:eastAsia="zh-CN"/>
        </w:rPr>
        <w:t>9</w:t>
      </w:r>
      <w:r>
        <w:rPr>
          <w:rStyle w:val="23"/>
          <w:rFonts w:hint="default" w:ascii="Times New Roman" w:hAnsi="Times New Roman" w:eastAsia="仿宋_GB2312" w:cs="Times New Roman"/>
          <w:color w:val="auto"/>
          <w:highlight w:val="none"/>
        </w:rPr>
        <w:t>家、卫生健康领域</w:t>
      </w:r>
      <w:r>
        <w:rPr>
          <w:rStyle w:val="23"/>
          <w:rFonts w:hint="default" w:ascii="Times New Roman" w:hAnsi="Times New Roman" w:eastAsia="仿宋_GB2312" w:cs="Times New Roman"/>
          <w:color w:val="auto"/>
          <w:highlight w:val="none"/>
          <w:lang w:val="en-US" w:eastAsia="zh-CN"/>
        </w:rPr>
        <w:t>4</w:t>
      </w:r>
      <w:r>
        <w:rPr>
          <w:rStyle w:val="23"/>
          <w:rFonts w:hint="default" w:ascii="Times New Roman" w:hAnsi="Times New Roman" w:eastAsia="仿宋_GB2312" w:cs="Times New Roman"/>
          <w:color w:val="auto"/>
          <w:highlight w:val="none"/>
        </w:rPr>
        <w:t>家</w:t>
      </w:r>
      <w:r>
        <w:rPr>
          <w:rStyle w:val="23"/>
          <w:rFonts w:hint="default" w:ascii="Times New Roman" w:hAnsi="Times New Roman" w:eastAsia="仿宋_GB2312" w:cs="Times New Roman"/>
          <w:color w:val="auto"/>
          <w:highlight w:val="none"/>
          <w:lang w:eastAsia="zh-CN"/>
        </w:rPr>
        <w:t>，</w:t>
      </w:r>
      <w:r>
        <w:rPr>
          <w:rStyle w:val="23"/>
          <w:rFonts w:hint="default" w:ascii="Times New Roman" w:hAnsi="Times New Roman" w:eastAsia="仿宋_GB2312" w:cs="Times New Roman"/>
          <w:color w:val="auto"/>
          <w:highlight w:val="none"/>
        </w:rPr>
        <w:t>加强推进校务公开</w:t>
      </w:r>
      <w:r>
        <w:rPr>
          <w:rStyle w:val="23"/>
          <w:rFonts w:hint="default" w:ascii="Times New Roman" w:hAnsi="Times New Roman" w:eastAsia="仿宋_GB2312" w:cs="Times New Roman"/>
          <w:color w:val="auto"/>
          <w:highlight w:val="none"/>
          <w:lang w:eastAsia="zh-CN"/>
        </w:rPr>
        <w:t>，</w:t>
      </w:r>
      <w:r>
        <w:rPr>
          <w:rStyle w:val="23"/>
          <w:rFonts w:hint="default" w:ascii="Times New Roman" w:hAnsi="Times New Roman" w:eastAsia="仿宋_GB2312" w:cs="Times New Roman"/>
          <w:color w:val="auto"/>
          <w:highlight w:val="none"/>
        </w:rPr>
        <w:t>拓宽医疗健康领域院务公开范围</w:t>
      </w:r>
      <w:r>
        <w:rPr>
          <w:rStyle w:val="23"/>
          <w:rFonts w:hint="default" w:ascii="Times New Roman" w:hAnsi="Times New Roman" w:eastAsia="仿宋_GB2312" w:cs="Times New Roman"/>
          <w:color w:val="auto"/>
          <w:highlight w:val="none"/>
          <w:lang w:eastAsia="zh-CN"/>
        </w:rPr>
        <w:t>；新建无证明城市</w:t>
      </w:r>
      <w:r>
        <w:rPr>
          <w:rStyle w:val="23"/>
          <w:rFonts w:hint="eastAsia" w:ascii="Times New Roman" w:hAnsi="Times New Roman" w:eastAsia="仿宋_GB2312" w:cs="Times New Roman"/>
          <w:color w:val="auto"/>
          <w:highlight w:val="none"/>
          <w:lang w:eastAsia="zh-CN"/>
        </w:rPr>
        <w:t>、</w:t>
      </w:r>
      <w:r>
        <w:rPr>
          <w:rStyle w:val="23"/>
          <w:rFonts w:hint="default" w:ascii="Times New Roman" w:hAnsi="Times New Roman" w:eastAsia="仿宋_GB2312" w:cs="Times New Roman"/>
          <w:color w:val="auto"/>
          <w:highlight w:val="none"/>
          <w:lang w:eastAsia="zh-CN"/>
        </w:rPr>
        <w:t>社会救助领域基层政务公开</w:t>
      </w:r>
      <w:r>
        <w:rPr>
          <w:rStyle w:val="23"/>
          <w:rFonts w:hint="eastAsia" w:ascii="Times New Roman" w:hAnsi="Times New Roman" w:eastAsia="仿宋_GB2312" w:cs="Times New Roman"/>
          <w:color w:val="auto"/>
          <w:highlight w:val="none"/>
          <w:lang w:eastAsia="zh-CN"/>
        </w:rPr>
        <w:t>、</w:t>
      </w:r>
      <w:r>
        <w:rPr>
          <w:rStyle w:val="23"/>
          <w:rFonts w:hint="default" w:ascii="Times New Roman" w:hAnsi="Times New Roman" w:eastAsia="仿宋_GB2312" w:cs="Times New Roman"/>
          <w:color w:val="auto"/>
          <w:highlight w:val="none"/>
          <w:lang w:eastAsia="zh-CN"/>
        </w:rPr>
        <w:t>乡村振兴</w:t>
      </w:r>
      <w:bookmarkStart w:id="11" w:name="_GoBack"/>
      <w:bookmarkEnd w:id="11"/>
      <w:r>
        <w:rPr>
          <w:rStyle w:val="23"/>
          <w:rFonts w:hint="default" w:ascii="Times New Roman" w:hAnsi="Times New Roman" w:eastAsia="仿宋_GB2312" w:cs="Times New Roman"/>
          <w:color w:val="auto"/>
          <w:highlight w:val="none"/>
          <w:lang w:eastAsia="zh-CN"/>
        </w:rPr>
        <w:t>等专栏专题；门户网站评估成绩位列区市政府和开发区管委第三。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640"/>
        <w:jc w:val="both"/>
        <w:rPr>
          <w:rFonts w:hint="default" w:ascii="Times New Roman" w:hAnsi="Times New Roman" w:eastAsia="楷体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楷体" w:cs="Times New Roman"/>
          <w:color w:val="auto"/>
          <w:kern w:val="2"/>
          <w:sz w:val="32"/>
          <w:szCs w:val="32"/>
          <w:lang w:val="en-US" w:eastAsia="zh-CN" w:bidi="ar-SA"/>
        </w:rPr>
        <w:t>4.落实上级年度政务公开工作要点情况</w:t>
      </w:r>
    </w:p>
    <w:p>
      <w:pPr>
        <w:spacing w:line="576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Style w:val="23"/>
          <w:rFonts w:hint="default" w:ascii="Times New Roman" w:hAnsi="Times New Roman" w:eastAsia="仿宋_GB2312" w:cs="Times New Roman"/>
          <w:color w:val="auto"/>
          <w:highlight w:val="none"/>
          <w:lang w:val="en-US" w:eastAsia="zh-CN"/>
        </w:rPr>
        <w:t>临港区认真落实上级部署的年度政务公开工作要点任务，切实提升政务公开标准化规范化水平。结合工作实际，规范“三同步”解读程序，创新“一图读懂”“音视频解读”等方式，提升解读材料质量，提高政策知晓度和覆盖率；推动政府网站无障碍改造和集约化建设，落实政务新媒体矩阵建设；扎实推进基层政务公开标准化规范化，及时编制并发布交通运输、统计、旅游、水利等领域基层政务公开标准目录。</w:t>
      </w:r>
    </w:p>
    <w:sectPr>
      <w:pgSz w:w="11906" w:h="16838"/>
      <w:pgMar w:top="1440" w:right="1474" w:bottom="1440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enlo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  <w:rPr>
        <w:rFonts w:ascii="宋体" w:hAnsi="宋体" w:eastAsia="宋体"/>
        <w:sz w:val="28"/>
        <w:szCs w:val="28"/>
      </w:rPr>
    </w:pPr>
    <w:r>
      <w:rPr>
        <w:sz w:val="2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>
                <w:pPr>
                  <w:snapToGrid w:val="0"/>
                  <w:rPr>
                    <w:rFonts w:eastAsia="宋体"/>
                    <w:sz w:val="18"/>
                  </w:rPr>
                </w:pPr>
                <w:r>
                  <w:rPr>
                    <w:rFonts w:hint="eastAsia" w:eastAsia="宋体"/>
                    <w:sz w:val="18"/>
                  </w:rPr>
                  <w:fldChar w:fldCharType="begin"/>
                </w:r>
                <w:r>
                  <w:rPr>
                    <w:rFonts w:hint="eastAsia" w:eastAsia="宋体"/>
                    <w:sz w:val="18"/>
                  </w:rPr>
                  <w:instrText xml:space="preserve"> PAGE  \* MERGEFORMAT </w:instrText>
                </w:r>
                <w:r>
                  <w:rPr>
                    <w:rFonts w:hint="eastAsia" w:eastAsia="宋体"/>
                    <w:sz w:val="18"/>
                  </w:rPr>
                  <w:fldChar w:fldCharType="separate"/>
                </w:r>
                <w:r>
                  <w:t>1</w:t>
                </w:r>
                <w:r>
                  <w:rPr>
                    <w:rFonts w:hint="eastAsia" w:eastAsia="宋体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FD764B"/>
    <w:multiLevelType w:val="singleLevel"/>
    <w:tmpl w:val="AAFD764B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E973E905"/>
    <w:multiLevelType w:val="singleLevel"/>
    <w:tmpl w:val="E973E905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3AD68B0B"/>
    <w:multiLevelType w:val="singleLevel"/>
    <w:tmpl w:val="3AD68B0B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2JlZWUwYjRjMTEwMjM3NzBhMmEyM2E3NjljNTgxNjQifQ=="/>
    <w:docVar w:name="KSO_WPS_MARK_KEY" w:val="42486d7e-6f6d-4112-923f-79a739e12aa3"/>
  </w:docVars>
  <w:rsids>
    <w:rsidRoot w:val="00502C34"/>
    <w:rsid w:val="0003350B"/>
    <w:rsid w:val="000500B1"/>
    <w:rsid w:val="000560B5"/>
    <w:rsid w:val="0006512C"/>
    <w:rsid w:val="000A0094"/>
    <w:rsid w:val="000A57BF"/>
    <w:rsid w:val="000B4F9F"/>
    <w:rsid w:val="000C1FDA"/>
    <w:rsid w:val="00121655"/>
    <w:rsid w:val="00123E53"/>
    <w:rsid w:val="001679FF"/>
    <w:rsid w:val="00180B4F"/>
    <w:rsid w:val="00196721"/>
    <w:rsid w:val="001F026B"/>
    <w:rsid w:val="00203F15"/>
    <w:rsid w:val="00211F6A"/>
    <w:rsid w:val="00243BAF"/>
    <w:rsid w:val="00286BF3"/>
    <w:rsid w:val="002B58BB"/>
    <w:rsid w:val="00315DDF"/>
    <w:rsid w:val="00333740"/>
    <w:rsid w:val="00372E47"/>
    <w:rsid w:val="00384B12"/>
    <w:rsid w:val="00392DAD"/>
    <w:rsid w:val="003C1943"/>
    <w:rsid w:val="004162E7"/>
    <w:rsid w:val="00463EF5"/>
    <w:rsid w:val="004B56DE"/>
    <w:rsid w:val="004D3C2B"/>
    <w:rsid w:val="004D6D24"/>
    <w:rsid w:val="00502C34"/>
    <w:rsid w:val="00515416"/>
    <w:rsid w:val="00531FBB"/>
    <w:rsid w:val="00552F1D"/>
    <w:rsid w:val="005548EB"/>
    <w:rsid w:val="00612182"/>
    <w:rsid w:val="00683E94"/>
    <w:rsid w:val="006B5301"/>
    <w:rsid w:val="006E2A67"/>
    <w:rsid w:val="00760120"/>
    <w:rsid w:val="007E43CD"/>
    <w:rsid w:val="008244CB"/>
    <w:rsid w:val="00846109"/>
    <w:rsid w:val="00851E51"/>
    <w:rsid w:val="00860E4A"/>
    <w:rsid w:val="008C68B1"/>
    <w:rsid w:val="00923DE3"/>
    <w:rsid w:val="00990BC0"/>
    <w:rsid w:val="009D1EAC"/>
    <w:rsid w:val="00A9562B"/>
    <w:rsid w:val="00AC0838"/>
    <w:rsid w:val="00AC0B55"/>
    <w:rsid w:val="00B0360E"/>
    <w:rsid w:val="00B06CEF"/>
    <w:rsid w:val="00B82BD5"/>
    <w:rsid w:val="00B846A3"/>
    <w:rsid w:val="00BA1959"/>
    <w:rsid w:val="00BB1402"/>
    <w:rsid w:val="00BD1F13"/>
    <w:rsid w:val="00BD2DFA"/>
    <w:rsid w:val="00BF2FF7"/>
    <w:rsid w:val="00C106D4"/>
    <w:rsid w:val="00C24C5F"/>
    <w:rsid w:val="00C74995"/>
    <w:rsid w:val="00CA2A1F"/>
    <w:rsid w:val="00CE332F"/>
    <w:rsid w:val="00D206E1"/>
    <w:rsid w:val="00D31E25"/>
    <w:rsid w:val="00DD7168"/>
    <w:rsid w:val="00DF3523"/>
    <w:rsid w:val="00DF7D80"/>
    <w:rsid w:val="00EB34AE"/>
    <w:rsid w:val="00ED6874"/>
    <w:rsid w:val="00ED698F"/>
    <w:rsid w:val="00EE7943"/>
    <w:rsid w:val="00F01622"/>
    <w:rsid w:val="00F03027"/>
    <w:rsid w:val="00F32266"/>
    <w:rsid w:val="00F42818"/>
    <w:rsid w:val="00F57A9C"/>
    <w:rsid w:val="00F7173D"/>
    <w:rsid w:val="00F90155"/>
    <w:rsid w:val="00FC01CB"/>
    <w:rsid w:val="00FF3FF5"/>
    <w:rsid w:val="00FF65C3"/>
    <w:rsid w:val="011F179D"/>
    <w:rsid w:val="036500EB"/>
    <w:rsid w:val="069B5E85"/>
    <w:rsid w:val="09F05B19"/>
    <w:rsid w:val="0AA21EFE"/>
    <w:rsid w:val="0C283572"/>
    <w:rsid w:val="0DE95691"/>
    <w:rsid w:val="10E059E4"/>
    <w:rsid w:val="12A3059B"/>
    <w:rsid w:val="14223E55"/>
    <w:rsid w:val="1578378E"/>
    <w:rsid w:val="19555FEA"/>
    <w:rsid w:val="29D615C5"/>
    <w:rsid w:val="2A8F72B6"/>
    <w:rsid w:val="2C1508B7"/>
    <w:rsid w:val="2C864E97"/>
    <w:rsid w:val="2D72477B"/>
    <w:rsid w:val="2DD311B8"/>
    <w:rsid w:val="31F0711B"/>
    <w:rsid w:val="320134AB"/>
    <w:rsid w:val="34A146BE"/>
    <w:rsid w:val="3C62594A"/>
    <w:rsid w:val="3C787E8C"/>
    <w:rsid w:val="410E53C1"/>
    <w:rsid w:val="41CD3974"/>
    <w:rsid w:val="43FC425E"/>
    <w:rsid w:val="44CA363B"/>
    <w:rsid w:val="48FF22B2"/>
    <w:rsid w:val="51223FFB"/>
    <w:rsid w:val="53BA665E"/>
    <w:rsid w:val="5A053700"/>
    <w:rsid w:val="5B4E321D"/>
    <w:rsid w:val="5C742FCD"/>
    <w:rsid w:val="5E787D6C"/>
    <w:rsid w:val="601C5E1C"/>
    <w:rsid w:val="62FF1F56"/>
    <w:rsid w:val="64FE0798"/>
    <w:rsid w:val="67A86AB5"/>
    <w:rsid w:val="67B57AB1"/>
    <w:rsid w:val="69BB0E89"/>
    <w:rsid w:val="6A0F47CB"/>
    <w:rsid w:val="7041769D"/>
    <w:rsid w:val="7809377A"/>
    <w:rsid w:val="7DB22AE3"/>
    <w:rsid w:val="7F383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qFormat="1" w:uiPriority="99" w:semiHidden="0" w:name="HTML Code"/>
    <w:lsdException w:qFormat="1" w:uiPriority="99" w:semiHidden="0" w:name="HTML Definition"/>
    <w:lsdException w:qFormat="1" w:uiPriority="99" w:semiHidden="0" w:name="HTML Keyboard"/>
    <w:lsdException w:uiPriority="99" w:name="HTML Preformatted"/>
    <w:lsdException w:qFormat="1" w:uiPriority="99" w:semiHidden="0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0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24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22"/>
    <w:rPr>
      <w:b/>
    </w:rPr>
  </w:style>
  <w:style w:type="character" w:styleId="12">
    <w:name w:val="FollowedHyperlink"/>
    <w:basedOn w:val="10"/>
    <w:unhideWhenUsed/>
    <w:qFormat/>
    <w:uiPriority w:val="99"/>
    <w:rPr>
      <w:color w:val="337AB7"/>
      <w:u w:val="single"/>
    </w:rPr>
  </w:style>
  <w:style w:type="character" w:styleId="13">
    <w:name w:val="HTML Definition"/>
    <w:basedOn w:val="10"/>
    <w:unhideWhenUsed/>
    <w:qFormat/>
    <w:uiPriority w:val="99"/>
    <w:rPr>
      <w:i/>
    </w:rPr>
  </w:style>
  <w:style w:type="character" w:styleId="14">
    <w:name w:val="Hyperlink"/>
    <w:basedOn w:val="10"/>
    <w:unhideWhenUsed/>
    <w:qFormat/>
    <w:uiPriority w:val="99"/>
    <w:rPr>
      <w:color w:val="337AB7"/>
      <w:u w:val="single"/>
    </w:rPr>
  </w:style>
  <w:style w:type="character" w:styleId="15">
    <w:name w:val="HTML Code"/>
    <w:basedOn w:val="10"/>
    <w:unhideWhenUsed/>
    <w:qFormat/>
    <w:uiPriority w:val="99"/>
    <w:rPr>
      <w:rFonts w:ascii="Menlo" w:hAnsi="Menlo" w:eastAsia="Menlo" w:cs="Menlo"/>
      <w:color w:val="C7254E"/>
      <w:sz w:val="21"/>
      <w:szCs w:val="21"/>
      <w:shd w:val="clear" w:color="auto" w:fill="F9F2F4"/>
    </w:rPr>
  </w:style>
  <w:style w:type="character" w:styleId="16">
    <w:name w:val="HTML Keyboard"/>
    <w:basedOn w:val="10"/>
    <w:unhideWhenUsed/>
    <w:qFormat/>
    <w:uiPriority w:val="99"/>
    <w:rPr>
      <w:rFonts w:hint="default" w:ascii="Menlo" w:hAnsi="Menlo" w:eastAsia="Menlo" w:cs="Menlo"/>
      <w:color w:val="FFFFFF"/>
      <w:sz w:val="21"/>
      <w:szCs w:val="21"/>
      <w:shd w:val="clear" w:color="auto" w:fill="333333"/>
    </w:rPr>
  </w:style>
  <w:style w:type="character" w:styleId="17">
    <w:name w:val="HTML Sample"/>
    <w:basedOn w:val="10"/>
    <w:unhideWhenUsed/>
    <w:qFormat/>
    <w:uiPriority w:val="99"/>
    <w:rPr>
      <w:rFonts w:hint="default" w:ascii="Menlo" w:hAnsi="Menlo" w:eastAsia="Menlo" w:cs="Menlo"/>
      <w:sz w:val="21"/>
      <w:szCs w:val="21"/>
    </w:rPr>
  </w:style>
  <w:style w:type="character" w:customStyle="1" w:styleId="18">
    <w:name w:val="页眉 Char"/>
    <w:basedOn w:val="10"/>
    <w:link w:val="6"/>
    <w:qFormat/>
    <w:uiPriority w:val="99"/>
    <w:rPr>
      <w:sz w:val="18"/>
      <w:szCs w:val="18"/>
    </w:rPr>
  </w:style>
  <w:style w:type="character" w:customStyle="1" w:styleId="19">
    <w:name w:val="页脚 Char"/>
    <w:basedOn w:val="10"/>
    <w:link w:val="5"/>
    <w:qFormat/>
    <w:uiPriority w:val="99"/>
    <w:rPr>
      <w:sz w:val="18"/>
      <w:szCs w:val="18"/>
    </w:rPr>
  </w:style>
  <w:style w:type="character" w:customStyle="1" w:styleId="20">
    <w:name w:val="标题 1 Char"/>
    <w:basedOn w:val="10"/>
    <w:link w:val="2"/>
    <w:qFormat/>
    <w:uiPriority w:val="9"/>
    <w:rPr>
      <w:b/>
      <w:bCs/>
      <w:kern w:val="44"/>
      <w:sz w:val="44"/>
      <w:szCs w:val="44"/>
    </w:rPr>
  </w:style>
  <w:style w:type="character" w:customStyle="1" w:styleId="21">
    <w:name w:val="标题 2 Char"/>
    <w:basedOn w:val="10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paragraph" w:customStyle="1" w:styleId="22">
    <w:name w:val="列出段落1"/>
    <w:basedOn w:val="1"/>
    <w:qFormat/>
    <w:uiPriority w:val="34"/>
    <w:pPr>
      <w:ind w:firstLine="420" w:firstLineChars="200"/>
    </w:pPr>
  </w:style>
  <w:style w:type="character" w:customStyle="1" w:styleId="23">
    <w:name w:val="fontstyle01"/>
    <w:basedOn w:val="10"/>
    <w:qFormat/>
    <w:uiPriority w:val="0"/>
    <w:rPr>
      <w:rFonts w:hint="eastAsia" w:ascii="仿宋_GB2312" w:eastAsia="仿宋_GB2312"/>
      <w:color w:val="000000"/>
      <w:sz w:val="32"/>
      <w:szCs w:val="32"/>
    </w:rPr>
  </w:style>
  <w:style w:type="character" w:customStyle="1" w:styleId="24">
    <w:name w:val="批注框文本 Char"/>
    <w:basedOn w:val="10"/>
    <w:link w:val="4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3006</Words>
  <Characters>3173</Characters>
  <Lines>22</Lines>
  <Paragraphs>6</Paragraphs>
  <TotalTime>68</TotalTime>
  <ScaleCrop>false</ScaleCrop>
  <LinksUpToDate>false</LinksUpToDate>
  <CharactersWithSpaces>3173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2021-09-03T07:57:00Z</dcterms:created>
  <dc:creator>qiyuanhua0168@163.com</dc:creator>
  <cp:lastModifiedBy>蒋鹏</cp:lastModifiedBy>
  <cp:lastPrinted>2023-02-13T03:23:00Z</cp:lastPrinted>
  <dcterms:modified xsi:type="dcterms:W3CDTF">2025-02-12T07:13:47Z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D69332FC737042FB94645666B103A9DF</vt:lpwstr>
  </property>
</Properties>
</file>