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576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bookmarkStart w:id="0" w:name="_Hlk89165240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威海临港经济技术开发区管理委员会</w:t>
      </w:r>
    </w:p>
    <w:p>
      <w:pPr>
        <w:spacing w:line="576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2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年政府信息公开工作年度报告</w:t>
      </w:r>
    </w:p>
    <w:bookmarkEnd w:id="0"/>
    <w:p>
      <w:pPr>
        <w:spacing w:line="576" w:lineRule="exact"/>
        <w:ind w:firstLine="640" w:firstLineChars="200"/>
        <w:rPr>
          <w:rStyle w:val="23"/>
          <w:rFonts w:hint="default" w:ascii="Times New Roman" w:hAnsi="Times New Roman" w:cs="Times New Roman"/>
          <w:color w:val="auto"/>
        </w:rPr>
      </w:pPr>
    </w:p>
    <w:p>
      <w:pPr>
        <w:spacing w:line="576" w:lineRule="exact"/>
        <w:ind w:firstLine="640" w:firstLineChars="200"/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根据《中华人民共和国政府信息公开条例》（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国务院令第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711号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以下简称《条例》）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和《中华人民共和国政府信息公开工作年度报告格式》(国办公开办函〔2021〕30号)要求，结合202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年威海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临港经济技术开发区管理委员会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政府信息公开工作实际，编制发布本报告。</w:t>
      </w:r>
    </w:p>
    <w:p>
      <w:pPr>
        <w:spacing w:line="576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内容包括总体情况、主动公开政府信息情况、收到和处理政府信息公开申请情况、政府信息公开行政复议、行政诉讼情况、存在的主要问题及改进情况、其他事项，以及相关指标统计附表。本年度报告中所列数据统计期限从202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年1月1日到12月31日止。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报告电子版可在威海市人民政府门户网站（http://www.weihai.gov.cn）和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威海临港经济技术开发区管委会网站（http://www.wip.gov.cn）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查询或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下载。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公众如需进一步咨询了解相关信息，请与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威海临港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经济技术开发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区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管理委员会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党政办公室联系（联系地址：威海临港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经济技术开发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区江苏东路；邮政编码：264211；联系电话：0631-5587393）。</w:t>
      </w:r>
    </w:p>
    <w:p>
      <w:pPr>
        <w:spacing w:line="576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一、总体情况</w:t>
      </w:r>
    </w:p>
    <w:p>
      <w:pPr>
        <w:spacing w:line="576" w:lineRule="exact"/>
        <w:ind w:firstLine="640" w:firstLineChars="200"/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202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年，临港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区围绕党中央、国务院和省、市、区中心工作，强化重大领域信息公开、会议公开及解读、政策发布及解读等，全面落实政府信息公开平台建设，进一步提升基层各领域主动公开水平。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right="0" w:rightChars="0" w:firstLine="640" w:firstLineChars="200"/>
        <w:jc w:val="left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right="0" w:rightChars="0" w:firstLine="640" w:firstLineChars="200"/>
        <w:jc w:val="left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  <w:t>主动公开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right="0" w:rightChars="0" w:firstLine="640" w:firstLineChars="200"/>
        <w:jc w:val="left"/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通过区管委门户网站以及全区政务新媒体公开信息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10763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（较上年度增加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17.2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%，含网站信息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4161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、微信信息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5073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、微博信息13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89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、抖音信息1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40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），其中公开工委（扩大）会议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19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件、专题会议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，管委文件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9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（含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2021年12月31日制作1件，2022年1月4日公开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）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，发布解读材料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6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件；开展在线访谈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件，新闻发布会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6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。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受理主任信箱（政民互动）信件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142件，办结率100%；围绕管委中心工作和重要决策部署，举办“政府开放日”5次。</w:t>
      </w:r>
    </w:p>
    <w:p>
      <w:pPr>
        <w:numPr>
          <w:ilvl w:val="0"/>
          <w:numId w:val="0"/>
        </w:numPr>
        <w:spacing w:line="576" w:lineRule="exact"/>
        <w:ind w:firstLine="640" w:firstLineChars="200"/>
        <w:jc w:val="both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  <w:t>依申请公开</w:t>
      </w:r>
    </w:p>
    <w:p>
      <w:pPr>
        <w:numPr>
          <w:ilvl w:val="0"/>
          <w:numId w:val="0"/>
        </w:numPr>
        <w:spacing w:line="576" w:lineRule="exact"/>
        <w:ind w:firstLine="640" w:firstLineChars="200"/>
        <w:jc w:val="both"/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本年新收政府信息公开申请6件（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与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上年度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持平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），依法依规处理6件。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申请内容方面，涉及建筑施工相关信息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5件，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职工保险相关信息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；提交方式方面，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网络提交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件，信函提交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，现场提交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；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办理结果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方面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，部分公开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件、本机关不掌握相关政府信息无法提供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件、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保护第三方合法利益不予公开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1件。无向政府信息公开申请人进行收费的情况。无因政府信息公开引起的行政复议和行政诉讼。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30"/>
        <w:jc w:val="both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  <w:t>3.政府信息管理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30"/>
        <w:jc w:val="both"/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一方面，严格执行内容发布审核制度，坚持先审后发机制，落实保密审查责任，严禁涉密信息上网公开，避免出现信息质量不高、审核把关不严、管理底数不清、政务新媒体功能定位不清等问题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；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另一方面，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注重对政府信息的全生命周期管理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落实规范性文件制发审批、清理工作流程，202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年共制发规范性文件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0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件，废止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（宣布失效）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件，现行有效1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0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件。</w:t>
      </w:r>
    </w:p>
    <w:p>
      <w:pPr>
        <w:ind w:firstLine="640" w:firstLineChars="200"/>
        <w:jc w:val="both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  <w:t>4.政府信息公开平台建设</w:t>
      </w:r>
    </w:p>
    <w:p>
      <w:pPr>
        <w:ind w:firstLine="640" w:firstLineChars="200"/>
        <w:jc w:val="both"/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202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年，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临港区认真落实上级政务公开工作要点、政务公开重点工作要求，结合工作实际，聚焦公开内容，重新调整管委门户网站法定主动公开内容、企事业单位信息公开，新建无证明城市</w:t>
      </w:r>
      <w:r>
        <w:rPr>
          <w:rStyle w:val="23"/>
          <w:rFonts w:hint="eastAsia" w:ascii="Times New Roman" w:hAnsi="Times New Roman" w:eastAsia="仿宋_GB2312" w:cs="Times New Roman"/>
          <w:color w:val="auto"/>
          <w:highlight w:val="none"/>
          <w:lang w:eastAsia="zh-CN"/>
        </w:rPr>
        <w:t>、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社会救助领域基层政务公开</w:t>
      </w:r>
      <w:r>
        <w:rPr>
          <w:rStyle w:val="23"/>
          <w:rFonts w:hint="eastAsia" w:ascii="Times New Roman" w:hAnsi="Times New Roman" w:eastAsia="仿宋_GB2312" w:cs="Times New Roman"/>
          <w:color w:val="auto"/>
          <w:highlight w:val="none"/>
          <w:lang w:eastAsia="zh-CN"/>
        </w:rPr>
        <w:t>、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乡村振兴等专栏专题；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加强政务新媒体管理，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严格落实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微博、微信、抖音等政务新媒体日常维护和备案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规定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关停未按规定备案账号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1个（临港文化中心）；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在区行政审批服务中心、各镇便民服务大厅开设政府信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息查阅点，配备公用电脑和查阅纸质材料专区等；依托市级平台，完善信息搜索、检索分类等功能，方便公众获取所需信息，助力区域经济和社会全面发展。</w:t>
      </w:r>
    </w:p>
    <w:p>
      <w:pPr>
        <w:spacing w:line="576" w:lineRule="exact"/>
        <w:ind w:firstLine="640" w:firstLineChars="200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</w:rPr>
        <w:t>5.监督保障</w:t>
      </w:r>
    </w:p>
    <w:p>
      <w:pPr>
        <w:spacing w:line="576" w:lineRule="exact"/>
        <w:ind w:firstLine="640" w:firstLineChars="200"/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一是连续多年将政务公开工作纳入区级年度考核，在往年基础上，细化《202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2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年临港区政务公开考核标准》指标体系；二是明确了各单位职责分工，要求各成员单位至少有1名人员负责网站内容建设和政府信息公开工作，组织开展政务公开业务培训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次；三是定期检查管委门户网站及政务新媒体各栏目存在的问题，发现问题第一时间整改，本年度未收到政府信息公开有关的投诉、举报，也无其他责任追究的情形。</w:t>
      </w:r>
    </w:p>
    <w:p>
      <w:pPr>
        <w:spacing w:line="576" w:lineRule="exact"/>
        <w:ind w:firstLine="640" w:firstLineChars="200"/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</w:pPr>
    </w:p>
    <w:p>
      <w:pPr>
        <w:spacing w:line="576" w:lineRule="exact"/>
        <w:ind w:firstLine="640" w:firstLineChars="200"/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</w:pPr>
    </w:p>
    <w:p>
      <w:pPr>
        <w:numPr>
          <w:ilvl w:val="0"/>
          <w:numId w:val="1"/>
        </w:numPr>
        <w:spacing w:line="576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主动公开政府信息情况统计表</w:t>
      </w:r>
    </w:p>
    <w:p>
      <w:pPr>
        <w:rPr>
          <w:rFonts w:hint="default" w:ascii="Times New Roman" w:hAnsi="Times New Roman" w:eastAsia="黑体" w:cs="Times New Roman"/>
          <w:color w:val="auto"/>
          <w:szCs w:val="21"/>
        </w:rPr>
      </w:pPr>
    </w:p>
    <w:tbl>
      <w:tblPr>
        <w:tblStyle w:val="8"/>
        <w:tblW w:w="886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5"/>
        <w:gridCol w:w="2215"/>
        <w:gridCol w:w="2215"/>
        <w:gridCol w:w="221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88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88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5516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88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301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88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221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4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246</w:t>
            </w:r>
          </w:p>
        </w:tc>
      </w:tr>
    </w:tbl>
    <w:p>
      <w:pPr>
        <w:numPr>
          <w:ilvl w:val="0"/>
          <w:numId w:val="0"/>
        </w:numPr>
        <w:spacing w:line="576" w:lineRule="exact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>
      <w:pPr>
        <w:numPr>
          <w:ilvl w:val="0"/>
          <w:numId w:val="2"/>
        </w:numPr>
        <w:spacing w:line="576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收到和处理政府信息公开申请情况</w:t>
      </w:r>
    </w:p>
    <w:p>
      <w:pPr>
        <w:rPr>
          <w:rFonts w:hint="default" w:ascii="Times New Roman" w:hAnsi="Times New Roman" w:eastAsia="黑体" w:cs="Times New Roman"/>
          <w:color w:val="auto"/>
          <w:szCs w:val="21"/>
        </w:rPr>
      </w:pPr>
    </w:p>
    <w:tbl>
      <w:tblPr>
        <w:tblStyle w:val="8"/>
        <w:tblW w:w="9382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2"/>
        <w:gridCol w:w="2979"/>
        <w:gridCol w:w="655"/>
        <w:gridCol w:w="570"/>
        <w:gridCol w:w="540"/>
        <w:gridCol w:w="690"/>
        <w:gridCol w:w="705"/>
        <w:gridCol w:w="555"/>
        <w:gridCol w:w="57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jc w:val="center"/>
        </w:trPr>
        <w:tc>
          <w:tcPr>
            <w:tcW w:w="5097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28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  <w:jc w:val="center"/>
        </w:trPr>
        <w:tc>
          <w:tcPr>
            <w:tcW w:w="509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65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</w:t>
            </w: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然</w:t>
            </w: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人</w:t>
            </w:r>
          </w:p>
        </w:tc>
        <w:tc>
          <w:tcPr>
            <w:tcW w:w="306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57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jc w:val="center"/>
        </w:trPr>
        <w:tc>
          <w:tcPr>
            <w:tcW w:w="509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65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57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509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509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after="180"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8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8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spacing w:line="24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9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9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9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8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509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</w:tbl>
    <w:p>
      <w:pPr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sectPr>
          <w:footerReference r:id="rId3" w:type="default"/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numPr>
          <w:ilvl w:val="0"/>
          <w:numId w:val="3"/>
        </w:numPr>
        <w:spacing w:line="576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政府信息公开工作被申请行政复议、提起行政诉讼情况</w:t>
      </w:r>
    </w:p>
    <w:p>
      <w:pPr>
        <w:rPr>
          <w:rFonts w:hint="default" w:ascii="Times New Roman" w:hAnsi="Times New Roman" w:eastAsia="黑体" w:cs="Times New Roman"/>
          <w:color w:val="auto"/>
          <w:szCs w:val="21"/>
        </w:rPr>
      </w:pPr>
    </w:p>
    <w:tbl>
      <w:tblPr>
        <w:tblStyle w:val="8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bookmarkStart w:id="10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0</w:t>
            </w:r>
          </w:p>
        </w:tc>
      </w:tr>
    </w:tbl>
    <w:p>
      <w:pPr>
        <w:spacing w:line="576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>
      <w:pPr>
        <w:spacing w:line="576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五、存在的主要问题及改进情况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default" w:ascii="Times New Roman" w:hAnsi="Times New Roman" w:eastAsia="楷体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lang w:eastAsia="zh-CN"/>
        </w:rPr>
        <w:t>存在问题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Style w:val="23"/>
          <w:rFonts w:hint="default" w:ascii="Times New Roman" w:hAnsi="Times New Roman" w:cs="Times New Roman"/>
          <w:color w:val="auto"/>
          <w:kern w:val="2"/>
          <w:highlight w:val="none"/>
          <w:lang w:val="en-US" w:eastAsia="zh-CN" w:bidi="ar-SA"/>
        </w:rPr>
        <w:t>随着群众法律意识的增强，部分工作的依申请公开案件明显增加，存在个别单位对政府信息依申请公开工作不够重视、答复内容不规范等问题。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default" w:ascii="Times New Roman" w:hAnsi="Times New Roman" w:eastAsia="楷体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lang w:eastAsia="zh-CN"/>
        </w:rPr>
        <w:t>下步举措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Style w:val="23"/>
          <w:rFonts w:hint="default" w:ascii="Times New Roman" w:hAnsi="Times New Roman" w:cs="Times New Roman"/>
          <w:color w:val="auto"/>
          <w:kern w:val="2"/>
          <w:highlight w:val="none"/>
          <w:lang w:val="en-US" w:eastAsia="zh-CN" w:bidi="ar-SA"/>
        </w:rPr>
        <w:t>落实政务公开各项规章制度，加强政务公开工作人员责任心；进一步规范办理流程，依托市级平台，做好登记、审核、办理、答复、归档等工作；借助专业法律顾问作用，确保依法依规、高质高效答复，提高政府工作透明度。</w:t>
      </w:r>
    </w:p>
    <w:p>
      <w:pPr>
        <w:spacing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六、其他需要报告的事项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Fonts w:hint="default" w:ascii="Times New Roman" w:hAnsi="Times New Roman" w:eastAsia="楷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" w:cs="Times New Roman"/>
          <w:color w:val="auto"/>
          <w:kern w:val="2"/>
          <w:sz w:val="32"/>
          <w:szCs w:val="32"/>
          <w:lang w:val="en-US" w:eastAsia="zh-CN" w:bidi="ar-SA"/>
        </w:rPr>
        <w:t>1.收取信息处理费的情况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Style w:val="23"/>
          <w:rFonts w:hint="default" w:ascii="Times New Roman" w:hAnsi="Times New Roman" w:cs="Times New Roman"/>
          <w:color w:val="auto"/>
          <w:kern w:val="2"/>
          <w:highlight w:val="none"/>
          <w:lang w:val="en-US" w:eastAsia="zh-CN" w:bidi="ar-SA"/>
        </w:rPr>
      </w:pPr>
      <w:r>
        <w:rPr>
          <w:rStyle w:val="23"/>
          <w:rFonts w:hint="default" w:ascii="Times New Roman" w:hAnsi="Times New Roman" w:cs="Times New Roman"/>
          <w:color w:val="auto"/>
          <w:kern w:val="2"/>
          <w:highlight w:val="none"/>
          <w:lang w:val="en-US" w:eastAsia="zh-CN" w:bidi="ar-SA"/>
        </w:rPr>
        <w:t>本年度无向政府信息公开申请人进行收费的情况。</w:t>
      </w:r>
    </w:p>
    <w:p>
      <w:pPr>
        <w:spacing w:line="576" w:lineRule="exact"/>
        <w:ind w:firstLine="640" w:firstLineChars="200"/>
        <w:jc w:val="both"/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2.人大代表建议和政协委员提案办理情况</w:t>
      </w:r>
    </w:p>
    <w:p>
      <w:pPr>
        <w:spacing w:line="576" w:lineRule="exact"/>
        <w:ind w:firstLine="640" w:firstLineChars="200"/>
        <w:jc w:val="both"/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本年度临港区人大代表、政协委员提案涉及层面均为市级层面，无我区需要协调或办理的情况。</w:t>
      </w:r>
    </w:p>
    <w:p>
      <w:pPr>
        <w:spacing w:line="576" w:lineRule="exact"/>
        <w:ind w:firstLine="640" w:firstLineChars="200"/>
        <w:rPr>
          <w:rFonts w:hint="default" w:ascii="Times New Roman" w:hAnsi="Times New Roman" w:eastAsia="楷体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</w:rPr>
        <w:t>政务公开工作创新情况</w:t>
      </w:r>
    </w:p>
    <w:p>
      <w:pPr>
        <w:spacing w:line="576" w:lineRule="exact"/>
        <w:ind w:firstLine="640" w:firstLineChars="200"/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重新调整管委门户网站法定主动公开内容，重新梳理各相关栏目；理顺企事业单位信息公开，涉及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教育领域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9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家、卫生健康领域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4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家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加强推进校务公开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，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</w:rPr>
        <w:t>拓宽医疗健康领域院务公开范围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；新建无证明城市</w:t>
      </w:r>
      <w:r>
        <w:rPr>
          <w:rStyle w:val="23"/>
          <w:rFonts w:hint="eastAsia" w:ascii="Times New Roman" w:hAnsi="Times New Roman" w:eastAsia="仿宋_GB2312" w:cs="Times New Roman"/>
          <w:color w:val="auto"/>
          <w:highlight w:val="none"/>
          <w:lang w:eastAsia="zh-CN"/>
        </w:rPr>
        <w:t>、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社会救助领域基层政务公开</w:t>
      </w:r>
      <w:r>
        <w:rPr>
          <w:rStyle w:val="23"/>
          <w:rFonts w:hint="eastAsia" w:ascii="Times New Roman" w:hAnsi="Times New Roman" w:eastAsia="仿宋_GB2312" w:cs="Times New Roman"/>
          <w:color w:val="auto"/>
          <w:highlight w:val="none"/>
          <w:lang w:eastAsia="zh-CN"/>
        </w:rPr>
        <w:t>、</w:t>
      </w: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乡村振兴</w:t>
      </w:r>
      <w:bookmarkStart w:id="11" w:name="_GoBack"/>
      <w:bookmarkEnd w:id="11"/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eastAsia="zh-CN"/>
        </w:rPr>
        <w:t>等专栏专题；门户网站评估成绩位列区市政府和开发区管委第三。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6" w:lineRule="atLeast"/>
        <w:ind w:left="0" w:right="0" w:firstLine="640"/>
        <w:jc w:val="both"/>
        <w:rPr>
          <w:rFonts w:hint="default" w:ascii="Times New Roman" w:hAnsi="Times New Roman" w:eastAsia="楷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" w:cs="Times New Roman"/>
          <w:color w:val="auto"/>
          <w:kern w:val="2"/>
          <w:sz w:val="32"/>
          <w:szCs w:val="32"/>
          <w:lang w:val="en-US" w:eastAsia="zh-CN" w:bidi="ar-SA"/>
        </w:rPr>
        <w:t>4.落实上级年度政务公开工作要点情况</w:t>
      </w:r>
    </w:p>
    <w:p>
      <w:pPr>
        <w:spacing w:line="576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Style w:val="23"/>
          <w:rFonts w:hint="default" w:ascii="Times New Roman" w:hAnsi="Times New Roman" w:eastAsia="仿宋_GB2312" w:cs="Times New Roman"/>
          <w:color w:val="auto"/>
          <w:highlight w:val="none"/>
          <w:lang w:val="en-US" w:eastAsia="zh-CN"/>
        </w:rPr>
        <w:t>临港区认真落实上级部署的年度政务公开工作要点任务，切实提升政务公开标准化规范化水平。结合工作实际，规范“三同步”解读程序，创新“一图读懂”“音视频解读”等方式，提升解读材料质量，提高政策知晓度和覆盖率；推动政府网站无障碍改造和集约化建设，落实政务新媒体矩阵建设；扎实推进基层政务公开标准化规范化，及时编制并发布交通运输、统计、旅游、水利等领域基层政务公开标准目录。</w:t>
      </w:r>
    </w:p>
    <w:sectPr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宋体" w:hAnsi="宋体" w:eastAsia="宋体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rFonts w:eastAsia="宋体"/>
                    <w:sz w:val="18"/>
                  </w:rPr>
                </w:pPr>
                <w:r>
                  <w:rPr>
                    <w:rFonts w:hint="eastAsia" w:eastAsia="宋体"/>
                    <w:sz w:val="18"/>
                  </w:rPr>
                  <w:fldChar w:fldCharType="begin"/>
                </w:r>
                <w:r>
                  <w:rPr>
                    <w:rFonts w:hint="eastAsia" w:eastAsia="宋体"/>
                    <w:sz w:val="18"/>
                  </w:rPr>
                  <w:instrText xml:space="preserve"> PAGE  \* MERGEFORMAT </w:instrText>
                </w:r>
                <w:r>
                  <w:rPr>
                    <w:rFonts w:hint="eastAsia" w:eastAsia="宋体"/>
                    <w:sz w:val="18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 w:eastAsia="宋体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FD764B"/>
    <w:multiLevelType w:val="singleLevel"/>
    <w:tmpl w:val="AAFD764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973E905"/>
    <w:multiLevelType w:val="singleLevel"/>
    <w:tmpl w:val="E973E90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AD68B0B"/>
    <w:multiLevelType w:val="singleLevel"/>
    <w:tmpl w:val="3AD68B0B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2JlZWUwYjRjMTEwMjM3NzBhMmEyM2E3NjljNTgxNjQifQ=="/>
    <w:docVar w:name="KSO_WPS_MARK_KEY" w:val="42486d7e-6f6d-4112-923f-79a739e12aa3"/>
  </w:docVars>
  <w:rsids>
    <w:rsidRoot w:val="00502C34"/>
    <w:rsid w:val="0003350B"/>
    <w:rsid w:val="000500B1"/>
    <w:rsid w:val="000560B5"/>
    <w:rsid w:val="0006512C"/>
    <w:rsid w:val="000A0094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B56DE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60E4A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31E25"/>
    <w:rsid w:val="00DD7168"/>
    <w:rsid w:val="00DF3523"/>
    <w:rsid w:val="00DF7D80"/>
    <w:rsid w:val="00EB34AE"/>
    <w:rsid w:val="00ED6874"/>
    <w:rsid w:val="00ED698F"/>
    <w:rsid w:val="00EE7943"/>
    <w:rsid w:val="00F01622"/>
    <w:rsid w:val="00F03027"/>
    <w:rsid w:val="00F32266"/>
    <w:rsid w:val="00F42818"/>
    <w:rsid w:val="00F57A9C"/>
    <w:rsid w:val="00F7173D"/>
    <w:rsid w:val="00F90155"/>
    <w:rsid w:val="00FC01CB"/>
    <w:rsid w:val="00FF3FF5"/>
    <w:rsid w:val="00FF65C3"/>
    <w:rsid w:val="011F179D"/>
    <w:rsid w:val="036500EB"/>
    <w:rsid w:val="069B5E85"/>
    <w:rsid w:val="09F05B19"/>
    <w:rsid w:val="0AA21EFE"/>
    <w:rsid w:val="0C283572"/>
    <w:rsid w:val="0DE95691"/>
    <w:rsid w:val="10E059E4"/>
    <w:rsid w:val="12A3059B"/>
    <w:rsid w:val="14223E55"/>
    <w:rsid w:val="1578378E"/>
    <w:rsid w:val="19555FEA"/>
    <w:rsid w:val="29D615C5"/>
    <w:rsid w:val="2A8F72B6"/>
    <w:rsid w:val="2C1508B7"/>
    <w:rsid w:val="2C864E97"/>
    <w:rsid w:val="2D72477B"/>
    <w:rsid w:val="2DD311B8"/>
    <w:rsid w:val="31F0711B"/>
    <w:rsid w:val="320134AB"/>
    <w:rsid w:val="34A146BE"/>
    <w:rsid w:val="3C62594A"/>
    <w:rsid w:val="3C787E8C"/>
    <w:rsid w:val="410E53C1"/>
    <w:rsid w:val="41CD3974"/>
    <w:rsid w:val="43FC425E"/>
    <w:rsid w:val="44CA363B"/>
    <w:rsid w:val="48FF22B2"/>
    <w:rsid w:val="51223FFB"/>
    <w:rsid w:val="53BA665E"/>
    <w:rsid w:val="5A053700"/>
    <w:rsid w:val="5B4E321D"/>
    <w:rsid w:val="5C742FCD"/>
    <w:rsid w:val="5E787D6C"/>
    <w:rsid w:val="601C5E1C"/>
    <w:rsid w:val="62FF1F56"/>
    <w:rsid w:val="64FE0798"/>
    <w:rsid w:val="67A86AB5"/>
    <w:rsid w:val="67B57AB1"/>
    <w:rsid w:val="69BB0E89"/>
    <w:rsid w:val="6A0F47CB"/>
    <w:rsid w:val="7041769D"/>
    <w:rsid w:val="7809377A"/>
    <w:rsid w:val="7DB22AE3"/>
    <w:rsid w:val="7F38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337AB7"/>
      <w:u w:val="single"/>
    </w:rPr>
  </w:style>
  <w:style w:type="character" w:styleId="13">
    <w:name w:val="HTML Definition"/>
    <w:basedOn w:val="10"/>
    <w:unhideWhenUsed/>
    <w:qFormat/>
    <w:uiPriority w:val="99"/>
    <w:rPr>
      <w:i/>
    </w:rPr>
  </w:style>
  <w:style w:type="character" w:styleId="14">
    <w:name w:val="Hyperlink"/>
    <w:basedOn w:val="10"/>
    <w:unhideWhenUsed/>
    <w:qFormat/>
    <w:uiPriority w:val="99"/>
    <w:rPr>
      <w:color w:val="337AB7"/>
      <w:u w:val="single"/>
    </w:rPr>
  </w:style>
  <w:style w:type="character" w:styleId="15">
    <w:name w:val="HTML Code"/>
    <w:basedOn w:val="10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color="auto" w:fill="F9F2F4"/>
    </w:rPr>
  </w:style>
  <w:style w:type="character" w:styleId="16">
    <w:name w:val="HTML Keyboard"/>
    <w:basedOn w:val="10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color="auto" w:fill="333333"/>
    </w:rPr>
  </w:style>
  <w:style w:type="character" w:styleId="17">
    <w:name w:val="HTML Sample"/>
    <w:basedOn w:val="10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8">
    <w:name w:val="页眉 Char"/>
    <w:basedOn w:val="10"/>
    <w:link w:val="6"/>
    <w:qFormat/>
    <w:uiPriority w:val="99"/>
    <w:rPr>
      <w:sz w:val="18"/>
      <w:szCs w:val="18"/>
    </w:rPr>
  </w:style>
  <w:style w:type="character" w:customStyle="1" w:styleId="19">
    <w:name w:val="页脚 Char"/>
    <w:basedOn w:val="10"/>
    <w:link w:val="5"/>
    <w:qFormat/>
    <w:uiPriority w:val="99"/>
    <w:rPr>
      <w:sz w:val="18"/>
      <w:szCs w:val="18"/>
    </w:rPr>
  </w:style>
  <w:style w:type="character" w:customStyle="1" w:styleId="20">
    <w:name w:val="标题 1 Char"/>
    <w:basedOn w:val="10"/>
    <w:link w:val="2"/>
    <w:qFormat/>
    <w:uiPriority w:val="9"/>
    <w:rPr>
      <w:b/>
      <w:bCs/>
      <w:kern w:val="44"/>
      <w:sz w:val="44"/>
      <w:szCs w:val="44"/>
    </w:rPr>
  </w:style>
  <w:style w:type="character" w:customStyle="1" w:styleId="21">
    <w:name w:val="标题 2 Char"/>
    <w:basedOn w:val="10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2">
    <w:name w:val="列出段落1"/>
    <w:basedOn w:val="1"/>
    <w:qFormat/>
    <w:uiPriority w:val="34"/>
    <w:pPr>
      <w:ind w:firstLine="420" w:firstLineChars="200"/>
    </w:pPr>
  </w:style>
  <w:style w:type="character" w:customStyle="1" w:styleId="23">
    <w:name w:val="fontstyle01"/>
    <w:basedOn w:val="10"/>
    <w:qFormat/>
    <w:uiPriority w:val="0"/>
    <w:rPr>
      <w:rFonts w:hint="eastAsia" w:ascii="仿宋_GB2312" w:eastAsia="仿宋_GB2312"/>
      <w:color w:val="000000"/>
      <w:sz w:val="32"/>
      <w:szCs w:val="32"/>
    </w:rPr>
  </w:style>
  <w:style w:type="character" w:customStyle="1" w:styleId="24">
    <w:name w:val="批注框文本 Char"/>
    <w:basedOn w:val="10"/>
    <w:link w:val="4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3006</Words>
  <Characters>3173</Characters>
  <Lines>22</Lines>
  <Paragraphs>6</Paragraphs>
  <TotalTime>68</TotalTime>
  <ScaleCrop>false</ScaleCrop>
  <LinksUpToDate>false</LinksUpToDate>
  <CharactersWithSpaces>3173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2021-09-03T07:57:00Z</dcterms:created>
  <dc:creator>qiyuanhua0168@163.com</dc:creator>
  <cp:lastModifiedBy>蒋鹏</cp:lastModifiedBy>
  <cp:lastPrinted>2023-02-13T03:23:00Z</cp:lastPrinted>
  <dcterms:modified xsi:type="dcterms:W3CDTF">2025-02-12T07:13:47Z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D69332FC737042FB94645666B103A9DF</vt:lpwstr>
  </property>
</Properties>
</file>