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jpeg" ContentType="image/jpe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charts/chart1.xml" ContentType="application/vnd.openxmlformats-officedocument.drawingml.chart+xml"/>
  <Override PartName="/word/charts/chart2.xml" ContentType="application/vnd.openxmlformats-officedocument.drawingml.chart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ackground w:color="FFFFFF"/>
  <w:body>
    <w:p>
      <w:pPr>
        <w:spacing w:line="576" w:lineRule="exact"/>
        <w:jc w:val="center"/>
        <w:rPr>
          <w:rFonts w:ascii="方正小标宋简体" w:eastAsia="方正小标宋简体"/>
          <w:sz w:val="44"/>
          <w:szCs w:val="44"/>
        </w:rPr>
      </w:pPr>
      <w:bookmarkStart w:id="0" w:name="_Hlk89165240"/>
      <w:r>
        <w:rPr>
          <w:rFonts w:hint="eastAsia" w:ascii="方正小标宋简体" w:eastAsia="方正小标宋简体"/>
          <w:sz w:val="44"/>
          <w:szCs w:val="44"/>
        </w:rPr>
        <w:t>威海临港经济技术开发区管理委员会</w:t>
      </w:r>
    </w:p>
    <w:p>
      <w:pPr>
        <w:spacing w:line="576" w:lineRule="exact"/>
        <w:jc w:val="center"/>
        <w:rPr>
          <w:rFonts w:ascii="方正小标宋简体" w:eastAsia="方正小标宋简体"/>
          <w:sz w:val="44"/>
          <w:szCs w:val="44"/>
        </w:rPr>
      </w:pPr>
      <w:r>
        <w:rPr>
          <w:rFonts w:hint="eastAsia" w:ascii="方正小标宋简体" w:eastAsia="方正小标宋简体"/>
          <w:sz w:val="44"/>
          <w:szCs w:val="44"/>
        </w:rPr>
        <w:t>2021年政府信息公开工作年度报告</w:t>
      </w:r>
    </w:p>
    <w:bookmarkEnd w:id="0"/>
    <w:p>
      <w:pPr>
        <w:spacing w:line="576" w:lineRule="exact"/>
        <w:ind w:firstLine="640" w:firstLineChars="200"/>
        <w:rPr>
          <w:rStyle w:val="23"/>
          <w:rFonts w:hint="default" w:ascii="Times New Roman" w:hAnsi="Times New Roman"/>
          <w:color w:val="auto"/>
        </w:rPr>
      </w:pPr>
    </w:p>
    <w:p>
      <w:pPr>
        <w:spacing w:line="576" w:lineRule="exact"/>
        <w:ind w:firstLine="640" w:firstLineChars="200"/>
        <w:rPr>
          <w:rStyle w:val="23"/>
          <w:rFonts w:hint="eastAsia" w:ascii="Times New Roman" w:hAnsi="Times New Roman" w:eastAsia="仿宋_GB2312"/>
          <w:color w:val="auto"/>
          <w:highlight w:val="none"/>
          <w:lang w:eastAsia="zh-CN"/>
        </w:rPr>
      </w:pPr>
      <w:r>
        <w:rPr>
          <w:rStyle w:val="23"/>
          <w:rFonts w:hint="default" w:ascii="Times New Roman" w:hAnsi="Times New Roman"/>
          <w:color w:val="auto"/>
        </w:rPr>
        <w:t>根据《中华人民共和国政府信息公开条例》（</w:t>
      </w:r>
      <w:r>
        <w:rPr>
          <w:rStyle w:val="23"/>
          <w:rFonts w:hint="eastAsia" w:ascii="Times New Roman" w:hAnsi="Times New Roman" w:eastAsia="仿宋_GB2312"/>
          <w:color w:val="auto"/>
          <w:lang w:eastAsia="zh-CN"/>
        </w:rPr>
        <w:t>国务院令第</w:t>
      </w:r>
      <w:r>
        <w:rPr>
          <w:rStyle w:val="23"/>
          <w:rFonts w:hint="eastAsia" w:ascii="Times New Roman" w:hAnsi="Times New Roman" w:eastAsia="仿宋_GB2312"/>
          <w:color w:val="auto"/>
          <w:lang w:val="en-US" w:eastAsia="zh-CN"/>
        </w:rPr>
        <w:t>711号</w:t>
      </w:r>
      <w:r>
        <w:rPr>
          <w:rStyle w:val="23"/>
          <w:rFonts w:hint="eastAsia" w:ascii="Times New Roman" w:hAnsi="Times New Roman" w:eastAsia="仿宋_GB2312"/>
          <w:color w:val="auto"/>
          <w:lang w:eastAsia="zh-CN"/>
        </w:rPr>
        <w:t>，</w:t>
      </w:r>
      <w:r>
        <w:rPr>
          <w:rStyle w:val="23"/>
          <w:rFonts w:hint="default" w:ascii="Times New Roman" w:hAnsi="Times New Roman"/>
          <w:color w:val="auto"/>
        </w:rPr>
        <w:t>以下简称《条例》）</w:t>
      </w:r>
      <w:r>
        <w:rPr>
          <w:rStyle w:val="23"/>
          <w:rFonts w:hint="eastAsia" w:ascii="Times New Roman" w:hAnsi="Times New Roman" w:eastAsia="仿宋_GB2312"/>
          <w:color w:val="auto"/>
          <w:lang w:eastAsia="zh-CN"/>
        </w:rPr>
        <w:t>和《中华人民共和国政府信息公开工作年度报告格式》(国办公开办函</w:t>
      </w:r>
      <w:r>
        <w:rPr>
          <w:rStyle w:val="23"/>
          <w:rFonts w:hint="eastAsia" w:ascii="仿宋_GB2312" w:hAnsi="仿宋_GB2312" w:eastAsia="仿宋_GB2312" w:cs="仿宋_GB2312"/>
          <w:color w:val="auto"/>
          <w:lang w:eastAsia="zh-CN"/>
        </w:rPr>
        <w:t>〔</w:t>
      </w:r>
      <w:r>
        <w:rPr>
          <w:rStyle w:val="23"/>
          <w:rFonts w:hint="eastAsia" w:ascii="Times New Roman" w:hAnsi="Times New Roman" w:eastAsia="仿宋_GB2312"/>
          <w:color w:val="auto"/>
          <w:lang w:eastAsia="zh-CN"/>
        </w:rPr>
        <w:t>2021</w:t>
      </w:r>
      <w:r>
        <w:rPr>
          <w:rStyle w:val="23"/>
          <w:rFonts w:hint="eastAsia" w:ascii="仿宋_GB2312" w:hAnsi="仿宋_GB2312" w:eastAsia="仿宋_GB2312" w:cs="仿宋_GB2312"/>
          <w:color w:val="auto"/>
          <w:lang w:eastAsia="zh-CN"/>
        </w:rPr>
        <w:t>〕</w:t>
      </w:r>
      <w:r>
        <w:rPr>
          <w:rStyle w:val="23"/>
          <w:rFonts w:hint="eastAsia" w:ascii="Times New Roman" w:hAnsi="Times New Roman" w:eastAsia="仿宋_GB2312"/>
          <w:color w:val="auto"/>
          <w:lang w:eastAsia="zh-CN"/>
        </w:rPr>
        <w:t>30号)要求，结合2021年威海</w:t>
      </w:r>
      <w:r>
        <w:rPr>
          <w:rStyle w:val="23"/>
          <w:rFonts w:hint="default" w:ascii="Times New Roman" w:hAnsi="Times New Roman"/>
          <w:color w:val="auto"/>
        </w:rPr>
        <w:t>临港经济技</w:t>
      </w:r>
      <w:r>
        <w:rPr>
          <w:rStyle w:val="23"/>
          <w:rFonts w:hint="default" w:ascii="Times New Roman" w:hAnsi="Times New Roman"/>
          <w:color w:val="auto"/>
          <w:highlight w:val="none"/>
        </w:rPr>
        <w:t>术开发区管理委员会</w:t>
      </w:r>
      <w:r>
        <w:rPr>
          <w:rStyle w:val="23"/>
          <w:rFonts w:hint="eastAsia" w:ascii="Times New Roman" w:hAnsi="Times New Roman" w:eastAsia="仿宋_GB2312"/>
          <w:color w:val="auto"/>
          <w:highlight w:val="none"/>
          <w:lang w:eastAsia="zh-CN"/>
        </w:rPr>
        <w:t>政府信息公开工作实际，编制发布本报告。</w:t>
      </w:r>
    </w:p>
    <w:p>
      <w:pPr>
        <w:spacing w:line="576" w:lineRule="exact"/>
        <w:ind w:firstLine="640" w:firstLineChars="200"/>
        <w:rPr>
          <w:rFonts w:hint="eastAsia" w:ascii="黑体" w:hAnsi="黑体" w:eastAsia="黑体"/>
          <w:sz w:val="32"/>
          <w:szCs w:val="32"/>
        </w:rPr>
      </w:pPr>
      <w:r>
        <w:rPr>
          <w:rStyle w:val="23"/>
          <w:rFonts w:hint="eastAsia" w:ascii="Times New Roman" w:hAnsi="Times New Roman" w:eastAsia="仿宋_GB2312"/>
          <w:color w:val="auto"/>
          <w:highlight w:val="none"/>
          <w:lang w:eastAsia="zh-CN"/>
        </w:rPr>
        <w:t>内容包括总体情况、主动公开政府信息情况、收到和处理政府信息公开申请情况、政府信息公开行政复议、行政诉讼情况、存在的主要问题及改进情况、其他事项，以及相关指标统计附表、附图等。本年度报告中所列数据统计期限从2021年1月1日到12月31日止。</w:t>
      </w:r>
      <w:r>
        <w:rPr>
          <w:rStyle w:val="23"/>
          <w:rFonts w:hint="default" w:ascii="Times New Roman" w:hAnsi="Times New Roman"/>
          <w:color w:val="auto"/>
          <w:highlight w:val="none"/>
        </w:rPr>
        <w:t>本报告的电子版可在</w:t>
      </w:r>
      <w:r>
        <w:rPr>
          <w:rStyle w:val="23"/>
          <w:rFonts w:hint="eastAsia" w:ascii="Times New Roman" w:hAnsi="Times New Roman" w:eastAsia="仿宋_GB2312"/>
          <w:color w:val="auto"/>
          <w:highlight w:val="none"/>
          <w:lang w:eastAsia="zh-CN"/>
        </w:rPr>
        <w:t>“</w:t>
      </w:r>
      <w:r>
        <w:rPr>
          <w:rStyle w:val="23"/>
          <w:rFonts w:hint="default" w:ascii="Times New Roman" w:hAnsi="Times New Roman"/>
          <w:color w:val="auto"/>
          <w:highlight w:val="none"/>
        </w:rPr>
        <w:t>威海临港经济技术开发区管委会网站</w:t>
      </w:r>
      <w:r>
        <w:rPr>
          <w:rStyle w:val="23"/>
          <w:rFonts w:hint="eastAsia" w:ascii="Times New Roman" w:hAnsi="Times New Roman" w:eastAsia="仿宋_GB2312"/>
          <w:color w:val="auto"/>
          <w:highlight w:val="none"/>
          <w:lang w:eastAsia="zh-CN"/>
        </w:rPr>
        <w:t>”</w:t>
      </w:r>
      <w:r>
        <w:rPr>
          <w:rStyle w:val="23"/>
          <w:rFonts w:hint="default" w:ascii="Times New Roman" w:hAnsi="Times New Roman"/>
          <w:color w:val="auto"/>
          <w:highlight w:val="none"/>
        </w:rPr>
        <w:t>（http://www.wip.gov.cn）</w:t>
      </w:r>
      <w:r>
        <w:rPr>
          <w:rStyle w:val="23"/>
          <w:rFonts w:hint="eastAsia" w:ascii="Times New Roman" w:hAnsi="Times New Roman" w:eastAsia="仿宋_GB2312"/>
          <w:color w:val="auto"/>
          <w:highlight w:val="none"/>
          <w:lang w:eastAsia="zh-CN"/>
        </w:rPr>
        <w:t>查询或</w:t>
      </w:r>
      <w:r>
        <w:rPr>
          <w:rStyle w:val="23"/>
          <w:rFonts w:hint="default" w:ascii="Times New Roman" w:hAnsi="Times New Roman"/>
          <w:color w:val="auto"/>
          <w:highlight w:val="none"/>
        </w:rPr>
        <w:t>下载。</w:t>
      </w:r>
      <w:r>
        <w:rPr>
          <w:rStyle w:val="23"/>
          <w:rFonts w:hint="eastAsia" w:ascii="Times New Roman" w:hAnsi="Times New Roman" w:eastAsia="仿宋_GB2312"/>
          <w:color w:val="auto"/>
          <w:highlight w:val="none"/>
          <w:lang w:eastAsia="zh-CN"/>
        </w:rPr>
        <w:t>公众如需进一步咨询了解相关信息，请与</w:t>
      </w:r>
      <w:r>
        <w:rPr>
          <w:rStyle w:val="23"/>
          <w:rFonts w:hint="default" w:ascii="Times New Roman" w:hAnsi="Times New Roman"/>
          <w:color w:val="auto"/>
          <w:highlight w:val="none"/>
        </w:rPr>
        <w:t>威海临港</w:t>
      </w:r>
      <w:r>
        <w:rPr>
          <w:rStyle w:val="23"/>
          <w:rFonts w:hint="eastAsia" w:ascii="Times New Roman" w:hAnsi="Times New Roman" w:eastAsia="仿宋_GB2312"/>
          <w:color w:val="auto"/>
          <w:highlight w:val="none"/>
          <w:lang w:eastAsia="zh-CN"/>
        </w:rPr>
        <w:t>经济技术开发</w:t>
      </w:r>
      <w:r>
        <w:rPr>
          <w:rStyle w:val="23"/>
          <w:rFonts w:hint="default" w:ascii="Times New Roman" w:hAnsi="Times New Roman"/>
          <w:color w:val="auto"/>
          <w:highlight w:val="none"/>
        </w:rPr>
        <w:t>区</w:t>
      </w:r>
      <w:r>
        <w:rPr>
          <w:rStyle w:val="23"/>
          <w:rFonts w:hint="eastAsia" w:ascii="Times New Roman" w:hAnsi="Times New Roman" w:eastAsia="仿宋_GB2312"/>
          <w:color w:val="auto"/>
          <w:highlight w:val="none"/>
          <w:lang w:eastAsia="zh-CN"/>
        </w:rPr>
        <w:t>管理委员会</w:t>
      </w:r>
      <w:r>
        <w:rPr>
          <w:rStyle w:val="23"/>
          <w:rFonts w:hint="default" w:ascii="Times New Roman" w:hAnsi="Times New Roman"/>
          <w:color w:val="auto"/>
          <w:highlight w:val="none"/>
        </w:rPr>
        <w:t>党政办公室联系（联系地址：威海临港</w:t>
      </w:r>
      <w:r>
        <w:rPr>
          <w:rStyle w:val="23"/>
          <w:rFonts w:hint="eastAsia" w:ascii="Times New Roman" w:hAnsi="Times New Roman" w:eastAsia="仿宋_GB2312"/>
          <w:color w:val="auto"/>
          <w:highlight w:val="none"/>
          <w:lang w:eastAsia="zh-CN"/>
        </w:rPr>
        <w:t>经济技术开发</w:t>
      </w:r>
      <w:r>
        <w:rPr>
          <w:rStyle w:val="23"/>
          <w:rFonts w:hint="default" w:ascii="Times New Roman" w:hAnsi="Times New Roman"/>
          <w:color w:val="auto"/>
          <w:highlight w:val="none"/>
        </w:rPr>
        <w:t>区江苏东路；邮政编码：264211；联系电话：0631-5587393）。</w:t>
      </w:r>
    </w:p>
    <w:p>
      <w:pPr>
        <w:spacing w:line="576" w:lineRule="exact"/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一、总体情况</w:t>
      </w:r>
    </w:p>
    <w:p>
      <w:pPr>
        <w:spacing w:line="576" w:lineRule="exact"/>
        <w:ind w:firstLine="643" w:firstLineChars="200"/>
        <w:rPr>
          <w:rStyle w:val="23"/>
          <w:rFonts w:hint="default" w:ascii="Times New Roman" w:hAnsi="Times New Roman"/>
          <w:color w:val="auto"/>
        </w:rPr>
      </w:pPr>
      <w:r>
        <w:rPr>
          <w:rFonts w:hint="eastAsia" w:ascii="仿宋_GB2312" w:eastAsia="仿宋_GB2312"/>
          <w:b/>
          <w:bCs/>
          <w:sz w:val="32"/>
          <w:szCs w:val="32"/>
        </w:rPr>
        <w:t>1.</w:t>
      </w:r>
      <w:r>
        <w:rPr>
          <w:rFonts w:ascii="仿宋_GB2312" w:eastAsia="仿宋_GB2312"/>
          <w:b/>
          <w:bCs/>
          <w:sz w:val="32"/>
          <w:szCs w:val="32"/>
        </w:rPr>
        <w:t>主动公开</w:t>
      </w:r>
      <w:r>
        <w:rPr>
          <w:rFonts w:hint="eastAsia" w:ascii="仿宋_GB2312" w:eastAsia="仿宋_GB2312"/>
          <w:b/>
          <w:bCs/>
          <w:sz w:val="32"/>
          <w:szCs w:val="32"/>
        </w:rPr>
        <w:t>。</w:t>
      </w:r>
      <w:r>
        <w:rPr>
          <w:rStyle w:val="23"/>
          <w:rFonts w:hint="default" w:ascii="Times New Roman" w:hAnsi="Times New Roman"/>
          <w:color w:val="auto"/>
        </w:rPr>
        <w:t>2021年，临港区加大对涉及公众利益调整、需要公众广泛知晓或者需要公众参与决策的政府信息公开力度，通过区管委门户网站以及全区政务新媒体公开信息9182条（较上年度增加45.1%，含网站信息4325条、微信信息3330条、微博信息1352、抖音信息175条），其中公开工委（扩大）会议30次，管委文件25件（发布政策文件18件，发布解读材料18件，较上年度增加200%）；开展在线访谈8次（较上一年度增加167%）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ind w:firstLine="640" w:firstLineChars="200"/>
        <w:textAlignment w:val="auto"/>
        <w:outlineLvl w:val="9"/>
        <w:rPr>
          <w:rStyle w:val="23"/>
          <w:rFonts w:hint="default" w:ascii="Times New Roman" w:hAnsi="Times New Roman"/>
          <w:color w:val="auto"/>
        </w:rPr>
      </w:pPr>
    </w:p>
    <w:p>
      <w:r>
        <w:rPr>
          <w:rFonts w:hint="eastAsia"/>
        </w:rPr>
        <w:t xml:space="preserve">   </w:t>
      </w:r>
      <w:r>
        <w:drawing>
          <wp:inline distT="0" distB="0" distL="114300" distR="114300">
            <wp:extent cx="2380615" cy="2248535"/>
            <wp:effectExtent l="4445" t="5080" r="15240" b="13335"/>
            <wp:docPr id="2" name="图表 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5"/>
              </a:graphicData>
            </a:graphic>
          </wp:inline>
        </w:drawing>
      </w:r>
      <w:r>
        <w:drawing>
          <wp:inline distT="0" distB="0" distL="114300" distR="114300">
            <wp:extent cx="2825750" cy="2237105"/>
            <wp:effectExtent l="5080" t="4445" r="7620" b="6350"/>
            <wp:docPr id="3" name="图表 2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6"/>
              </a:graphicData>
            </a:graphic>
          </wp:inline>
        </w:drawing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outlineLvl w:val="9"/>
        <w:rPr>
          <w:rFonts w:hint="default"/>
        </w:rPr>
      </w:pPr>
    </w:p>
    <w:p>
      <w:pPr>
        <w:spacing w:line="576" w:lineRule="exact"/>
        <w:ind w:firstLine="643" w:firstLineChars="200"/>
        <w:rPr>
          <w:rFonts w:ascii="Times New Roman" w:hAnsi="Times New Roman" w:eastAsia="仿宋_GB2312" w:cs="Times New Roman"/>
          <w:kern w:val="0"/>
          <w:sz w:val="32"/>
        </w:rPr>
      </w:pPr>
      <w:r>
        <w:rPr>
          <w:rFonts w:hint="eastAsia" w:ascii="仿宋_GB2312" w:eastAsia="仿宋_GB2312"/>
          <w:b/>
          <w:bCs/>
          <w:sz w:val="32"/>
          <w:szCs w:val="32"/>
        </w:rPr>
        <w:t>2.依申请</w:t>
      </w:r>
      <w:r>
        <w:rPr>
          <w:rFonts w:ascii="仿宋_GB2312" w:eastAsia="仿宋_GB2312"/>
          <w:b/>
          <w:bCs/>
          <w:sz w:val="32"/>
          <w:szCs w:val="32"/>
        </w:rPr>
        <w:t>公开</w:t>
      </w:r>
      <w:r>
        <w:rPr>
          <w:rFonts w:hint="eastAsia" w:ascii="仿宋_GB2312" w:eastAsia="仿宋_GB2312"/>
          <w:b/>
          <w:bCs/>
          <w:sz w:val="32"/>
          <w:szCs w:val="32"/>
        </w:rPr>
        <w:t>。</w:t>
      </w:r>
      <w:r>
        <w:rPr>
          <w:rFonts w:hint="eastAsia" w:ascii="Times New Roman" w:hAnsi="Times New Roman" w:eastAsia="仿宋_GB2312" w:cs="Times New Roman"/>
          <w:kern w:val="0"/>
          <w:sz w:val="32"/>
        </w:rPr>
        <w:t>本年新收政府信息公开申请6件（较上年度增加200%），</w:t>
      </w:r>
      <w:r>
        <w:rPr>
          <w:rFonts w:ascii="Times New Roman" w:hAnsi="Times New Roman" w:eastAsia="仿宋_GB2312" w:cs="Times New Roman"/>
          <w:kern w:val="0"/>
          <w:sz w:val="32"/>
        </w:rPr>
        <w:t>依法依规</w:t>
      </w:r>
      <w:r>
        <w:rPr>
          <w:rFonts w:hint="eastAsia" w:ascii="Times New Roman" w:hAnsi="Times New Roman" w:eastAsia="仿宋_GB2312" w:cs="Times New Roman"/>
          <w:kern w:val="0"/>
          <w:sz w:val="32"/>
        </w:rPr>
        <w:t>处理6</w:t>
      </w:r>
      <w:r>
        <w:rPr>
          <w:rFonts w:ascii="Times New Roman" w:hAnsi="Times New Roman" w:eastAsia="仿宋_GB2312" w:cs="Times New Roman"/>
          <w:kern w:val="0"/>
          <w:sz w:val="32"/>
        </w:rPr>
        <w:t>件。其中，网络提交</w:t>
      </w:r>
      <w:r>
        <w:rPr>
          <w:rFonts w:hint="eastAsia" w:ascii="Times New Roman" w:hAnsi="Times New Roman" w:eastAsia="仿宋_GB2312" w:cs="Times New Roman"/>
          <w:kern w:val="0"/>
          <w:sz w:val="32"/>
        </w:rPr>
        <w:t>申请5件，</w:t>
      </w:r>
      <w:r>
        <w:rPr>
          <w:rFonts w:ascii="Times New Roman" w:hAnsi="Times New Roman" w:eastAsia="仿宋_GB2312" w:cs="Times New Roman"/>
          <w:kern w:val="0"/>
          <w:sz w:val="32"/>
        </w:rPr>
        <w:t>信函提交申请</w:t>
      </w:r>
      <w:r>
        <w:rPr>
          <w:rFonts w:hint="eastAsia" w:ascii="Times New Roman" w:hAnsi="Times New Roman" w:eastAsia="仿宋_GB2312" w:cs="Times New Roman"/>
          <w:kern w:val="0"/>
          <w:sz w:val="32"/>
        </w:rPr>
        <w:t>1件</w:t>
      </w:r>
      <w:r>
        <w:rPr>
          <w:rFonts w:ascii="Times New Roman" w:hAnsi="Times New Roman" w:eastAsia="仿宋_GB2312" w:cs="Times New Roman"/>
          <w:kern w:val="0"/>
          <w:sz w:val="32"/>
        </w:rPr>
        <w:t>。从办理结果情况看，予以公开</w:t>
      </w:r>
      <w:r>
        <w:rPr>
          <w:rFonts w:hint="eastAsia" w:ascii="Times New Roman" w:hAnsi="Times New Roman" w:eastAsia="仿宋_GB2312" w:cs="Times New Roman"/>
          <w:kern w:val="0"/>
          <w:sz w:val="32"/>
        </w:rPr>
        <w:t>1</w:t>
      </w:r>
      <w:r>
        <w:rPr>
          <w:rFonts w:ascii="Times New Roman" w:hAnsi="Times New Roman" w:eastAsia="仿宋_GB2312" w:cs="Times New Roman"/>
          <w:kern w:val="0"/>
          <w:sz w:val="32"/>
        </w:rPr>
        <w:t>件</w:t>
      </w:r>
      <w:r>
        <w:rPr>
          <w:rFonts w:hint="eastAsia" w:ascii="Times New Roman" w:hAnsi="Times New Roman" w:eastAsia="仿宋_GB2312" w:cs="Times New Roman"/>
          <w:kern w:val="0"/>
          <w:sz w:val="32"/>
        </w:rPr>
        <w:t>，部分公开2件、</w:t>
      </w:r>
      <w:r>
        <w:rPr>
          <w:rFonts w:ascii="Times New Roman" w:hAnsi="Times New Roman" w:eastAsia="仿宋_GB2312" w:cs="Times New Roman"/>
          <w:kern w:val="0"/>
          <w:sz w:val="32"/>
        </w:rPr>
        <w:t>本机关不掌握相关政府信息无法提供</w:t>
      </w:r>
      <w:r>
        <w:rPr>
          <w:rFonts w:hint="eastAsia" w:ascii="Times New Roman" w:hAnsi="Times New Roman" w:eastAsia="仿宋_GB2312" w:cs="Times New Roman"/>
          <w:kern w:val="0"/>
          <w:sz w:val="32"/>
        </w:rPr>
        <w:t>2</w:t>
      </w:r>
      <w:r>
        <w:rPr>
          <w:rFonts w:ascii="Times New Roman" w:hAnsi="Times New Roman" w:eastAsia="仿宋_GB2312" w:cs="Times New Roman"/>
          <w:kern w:val="0"/>
          <w:sz w:val="32"/>
        </w:rPr>
        <w:t>件</w:t>
      </w:r>
      <w:r>
        <w:rPr>
          <w:rFonts w:hint="eastAsia" w:ascii="Times New Roman" w:hAnsi="Times New Roman" w:eastAsia="仿宋_GB2312" w:cs="Times New Roman"/>
          <w:kern w:val="0"/>
          <w:sz w:val="32"/>
        </w:rPr>
        <w:t>、申请人无正当理由逾期不补正做其他处理1件</w:t>
      </w:r>
      <w:r>
        <w:rPr>
          <w:rFonts w:ascii="Times New Roman" w:hAnsi="Times New Roman" w:eastAsia="仿宋_GB2312" w:cs="Times New Roman"/>
          <w:kern w:val="0"/>
          <w:sz w:val="32"/>
        </w:rPr>
        <w:t>。无向政府信息公开申请人进行收费的情况。无因政府信息公开引起的行政复议和行政诉讼。</w:t>
      </w:r>
    </w:p>
    <w:p>
      <w:pPr>
        <w:spacing w:line="576" w:lineRule="exact"/>
        <w:ind w:firstLine="643" w:firstLineChars="200"/>
        <w:rPr>
          <w:rFonts w:ascii="Times New Roman" w:hAnsi="Times New Roman" w:eastAsia="仿宋_GB2312" w:cs="Times New Roman"/>
          <w:kern w:val="0"/>
          <w:sz w:val="32"/>
        </w:rPr>
      </w:pPr>
      <w:r>
        <w:rPr>
          <w:rFonts w:ascii="仿宋_GB2312" w:eastAsia="仿宋_GB2312"/>
          <w:b/>
          <w:bCs/>
          <w:sz w:val="32"/>
          <w:szCs w:val="32"/>
        </w:rPr>
        <w:t>3.政府信息管理</w:t>
      </w:r>
      <w:r>
        <w:rPr>
          <w:rFonts w:hint="eastAsia" w:ascii="仿宋_GB2312" w:eastAsia="仿宋_GB2312"/>
          <w:b/>
          <w:bCs/>
          <w:sz w:val="32"/>
          <w:szCs w:val="32"/>
        </w:rPr>
        <w:t>。</w:t>
      </w:r>
      <w:r>
        <w:rPr>
          <w:rFonts w:hint="eastAsia" w:ascii="仿宋_GB2312" w:eastAsia="仿宋_GB2312"/>
          <w:sz w:val="32"/>
          <w:szCs w:val="32"/>
        </w:rPr>
        <w:t>2021年，</w:t>
      </w:r>
      <w:r>
        <w:rPr>
          <w:rFonts w:hint="eastAsia" w:ascii="Times New Roman" w:hAnsi="Times New Roman" w:eastAsia="仿宋_GB2312"/>
          <w:sz w:val="32"/>
          <w:szCs w:val="32"/>
        </w:rPr>
        <w:t>动态调整区</w:t>
      </w:r>
      <w:r>
        <w:rPr>
          <w:rFonts w:hint="eastAsia" w:ascii="Times New Roman" w:hAnsi="Times New Roman" w:eastAsia="仿宋_GB2312"/>
          <w:sz w:val="32"/>
        </w:rPr>
        <w:t>政务公开</w:t>
      </w:r>
      <w:r>
        <w:rPr>
          <w:rFonts w:ascii="Times New Roman" w:hAnsi="Times New Roman" w:eastAsia="仿宋_GB2312"/>
          <w:sz w:val="32"/>
        </w:rPr>
        <w:t>领导小组</w:t>
      </w:r>
      <w:r>
        <w:rPr>
          <w:rFonts w:hint="eastAsia" w:ascii="Times New Roman" w:hAnsi="Times New Roman" w:eastAsia="仿宋_GB2312"/>
          <w:sz w:val="32"/>
        </w:rPr>
        <w:t>成员名单，</w:t>
      </w:r>
      <w:r>
        <w:rPr>
          <w:rFonts w:hint="eastAsia" w:ascii="仿宋_GB2312" w:eastAsia="仿宋_GB2312"/>
          <w:sz w:val="32"/>
          <w:szCs w:val="32"/>
        </w:rPr>
        <w:t>重新修订《临港区政府信息公开工作规范汇编》，内容包括信息发布协调工作规定、信息公开保密审查办法、信息公开责任追究办法等，</w:t>
      </w:r>
      <w:r>
        <w:rPr>
          <w:rFonts w:hint="eastAsia" w:ascii="Times New Roman" w:hAnsi="Times New Roman" w:eastAsia="仿宋_GB2312"/>
          <w:sz w:val="32"/>
          <w:szCs w:val="32"/>
        </w:rPr>
        <w:t>强调</w:t>
      </w:r>
      <w:r>
        <w:rPr>
          <w:rFonts w:ascii="Times New Roman" w:hAnsi="Times New Roman" w:eastAsia="仿宋_GB2312"/>
          <w:sz w:val="32"/>
          <w:szCs w:val="32"/>
        </w:rPr>
        <w:t>“</w:t>
      </w:r>
      <w:r>
        <w:rPr>
          <w:rFonts w:hint="eastAsia" w:ascii="Times New Roman" w:hAnsi="Times New Roman" w:eastAsia="仿宋_GB2312"/>
          <w:sz w:val="32"/>
          <w:szCs w:val="32"/>
        </w:rPr>
        <w:t>一把手抓公开</w:t>
      </w:r>
      <w:r>
        <w:rPr>
          <w:rFonts w:ascii="Times New Roman" w:hAnsi="Times New Roman" w:eastAsia="仿宋_GB2312"/>
          <w:sz w:val="32"/>
          <w:szCs w:val="32"/>
        </w:rPr>
        <w:t>”</w:t>
      </w:r>
      <w:r>
        <w:rPr>
          <w:rFonts w:hint="eastAsia" w:ascii="Times New Roman" w:hAnsi="Times New Roman" w:eastAsia="仿宋_GB2312"/>
          <w:sz w:val="32"/>
          <w:szCs w:val="32"/>
        </w:rPr>
        <w:t>，</w:t>
      </w:r>
      <w:r>
        <w:rPr>
          <w:rFonts w:hint="eastAsia" w:ascii="仿宋_GB2312" w:eastAsia="仿宋_GB2312"/>
          <w:sz w:val="32"/>
          <w:szCs w:val="32"/>
        </w:rPr>
        <w:t>严格规范相关单位政府信息公开的日常工作；落实规范性文件制发审批、清理工作流程，截至2021年12月31日，现行有效件数11件；进一步</w:t>
      </w:r>
      <w:r>
        <w:rPr>
          <w:rFonts w:hint="eastAsia" w:ascii="Times New Roman" w:hAnsi="Times New Roman" w:eastAsia="仿宋_GB2312" w:cs="Times New Roman"/>
          <w:kern w:val="0"/>
          <w:sz w:val="32"/>
        </w:rPr>
        <w:t>优化全网站信息搜索、检索分类、智能推荐等功能，方便公众获取所需信息。</w:t>
      </w:r>
    </w:p>
    <w:p>
      <w:pPr>
        <w:rPr>
          <w:rFonts w:ascii="Times New Roman" w:hAnsi="Times New Roman" w:eastAsia="仿宋_GB2312" w:cs="Times New Roman"/>
          <w:kern w:val="0"/>
          <w:sz w:val="32"/>
        </w:rPr>
      </w:pPr>
      <w:r>
        <w:drawing>
          <wp:inline distT="0" distB="0" distL="114300" distR="114300">
            <wp:extent cx="2750185" cy="1511935"/>
            <wp:effectExtent l="0" t="0" r="12065" b="12065"/>
            <wp:docPr id="6" name="图片 6" descr="801bd5acfd58096b0117ddbe41da78d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图片 6" descr="801bd5acfd58096b0117ddbe41da78d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750185" cy="15119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/>
        </w:rPr>
        <w:t xml:space="preserve"> </w:t>
      </w:r>
      <w:r>
        <w:drawing>
          <wp:inline distT="0" distB="0" distL="114300" distR="114300">
            <wp:extent cx="2750185" cy="1511935"/>
            <wp:effectExtent l="0" t="0" r="12065" b="12065"/>
            <wp:docPr id="4" name="图片 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1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750185" cy="1511935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ind w:firstLine="643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eastAsia="仿宋_GB2312"/>
          <w:b/>
          <w:bCs/>
          <w:sz w:val="32"/>
          <w:szCs w:val="32"/>
        </w:rPr>
        <w:t>4.政府信息公开</w:t>
      </w:r>
      <w:r>
        <w:rPr>
          <w:rFonts w:ascii="仿宋_GB2312" w:eastAsia="仿宋_GB2312"/>
          <w:b/>
          <w:bCs/>
          <w:sz w:val="32"/>
          <w:szCs w:val="32"/>
        </w:rPr>
        <w:t>平台建设</w:t>
      </w:r>
      <w:r>
        <w:rPr>
          <w:rFonts w:hint="eastAsia" w:ascii="仿宋_GB2312" w:eastAsia="仿宋_GB2312"/>
          <w:b/>
          <w:bCs/>
          <w:sz w:val="32"/>
          <w:szCs w:val="32"/>
        </w:rPr>
        <w:t>。</w:t>
      </w:r>
      <w:r>
        <w:rPr>
          <w:rFonts w:hint="eastAsia" w:ascii="仿宋_GB2312" w:eastAsia="仿宋_GB2312"/>
          <w:sz w:val="32"/>
          <w:szCs w:val="32"/>
        </w:rPr>
        <w:t>2021年，聚焦开发区体制机制改革，完成了管委门户网站改版升级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，优化网站功能，提升用户体验，创新开设</w:t>
      </w:r>
      <w:r>
        <w:rPr>
          <w:rFonts w:hint="eastAsia" w:ascii="仿宋_GB2312" w:hAnsi="仿宋_GB2312" w:eastAsia="仿宋_GB2312" w:cs="仿宋_GB2312"/>
          <w:sz w:val="32"/>
          <w:szCs w:val="32"/>
        </w:rPr>
        <w:t>“投资临港”“政务地图”“优化营商环境”等专题专栏，助力打造“服务链、产业链、供应链、创新链”协同发展的政务环境、营商环境。</w:t>
      </w:r>
      <w:r>
        <w:rPr>
          <w:rFonts w:hint="eastAsia" w:ascii="仿宋_GB2312" w:eastAsia="仿宋_GB2312"/>
          <w:sz w:val="32"/>
          <w:szCs w:val="32"/>
        </w:rPr>
        <w:t>加强政务新媒体管理，做好微博、微信、抖音等政务新媒体日常维护和备案管理，关停关注用户少、非官方认证账号3个（掌上临港、威海临港区项目推进办公室、威海临港区草庙子镇）；</w:t>
      </w:r>
      <w:r>
        <w:rPr>
          <w:rFonts w:ascii="Times New Roman" w:hAnsi="Times New Roman" w:eastAsia="仿宋_GB2312" w:cs="Times New Roman"/>
          <w:kern w:val="0"/>
          <w:sz w:val="32"/>
        </w:rPr>
        <w:t>在</w:t>
      </w:r>
      <w:r>
        <w:rPr>
          <w:rFonts w:hint="eastAsia" w:ascii="Times New Roman" w:hAnsi="Times New Roman" w:eastAsia="仿宋_GB2312" w:cs="Times New Roman"/>
          <w:kern w:val="0"/>
          <w:sz w:val="32"/>
        </w:rPr>
        <w:t>区</w:t>
      </w:r>
      <w:r>
        <w:rPr>
          <w:rFonts w:ascii="Times New Roman" w:hAnsi="Times New Roman" w:eastAsia="仿宋_GB2312" w:cs="Times New Roman"/>
          <w:kern w:val="0"/>
          <w:sz w:val="32"/>
        </w:rPr>
        <w:t>行政</w:t>
      </w:r>
      <w:r>
        <w:rPr>
          <w:rFonts w:hint="eastAsia" w:ascii="Times New Roman" w:hAnsi="Times New Roman" w:eastAsia="仿宋_GB2312" w:cs="Times New Roman"/>
          <w:kern w:val="0"/>
          <w:sz w:val="32"/>
        </w:rPr>
        <w:t>审批</w:t>
      </w:r>
      <w:r>
        <w:rPr>
          <w:rFonts w:ascii="Times New Roman" w:hAnsi="Times New Roman" w:eastAsia="仿宋_GB2312" w:cs="Times New Roman"/>
          <w:kern w:val="0"/>
          <w:sz w:val="32"/>
        </w:rPr>
        <w:t>服务中心</w:t>
      </w:r>
      <w:r>
        <w:rPr>
          <w:rFonts w:hint="eastAsia" w:ascii="Times New Roman" w:hAnsi="Times New Roman" w:eastAsia="仿宋_GB2312" w:cs="Times New Roman"/>
          <w:kern w:val="0"/>
          <w:sz w:val="32"/>
        </w:rPr>
        <w:t>、各镇便民服务大厅开设政府信息查阅点</w:t>
      </w:r>
      <w:r>
        <w:rPr>
          <w:rFonts w:ascii="Times New Roman" w:hAnsi="Times New Roman" w:eastAsia="仿宋_GB2312" w:cs="Times New Roman"/>
          <w:kern w:val="0"/>
          <w:sz w:val="32"/>
        </w:rPr>
        <w:t>。</w:t>
      </w:r>
    </w:p>
    <w:p>
      <w:pPr>
        <w:rPr>
          <w:rFonts w:ascii="仿宋_GB2312" w:eastAsia="仿宋_GB2312"/>
          <w:b/>
          <w:bCs/>
          <w:sz w:val="32"/>
          <w:szCs w:val="32"/>
        </w:rPr>
      </w:pPr>
      <w:r>
        <w:drawing>
          <wp:inline distT="0" distB="0" distL="114300" distR="114300">
            <wp:extent cx="2736215" cy="1835785"/>
            <wp:effectExtent l="0" t="0" r="6985" b="12065"/>
            <wp:docPr id="8" name="图片 4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图片 4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736215" cy="1835785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hint="eastAsia"/>
        </w:rPr>
        <w:t xml:space="preserve"> </w:t>
      </w:r>
      <w:r>
        <w:drawing>
          <wp:inline distT="0" distB="0" distL="114300" distR="114300">
            <wp:extent cx="2736215" cy="1835785"/>
            <wp:effectExtent l="0" t="0" r="6985" b="12065"/>
            <wp:docPr id="9" name="图片 5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图片 5"/>
                    <pic:cNvPicPr/>
                  </pic:nvPicPr>
                  <pic:blipFill>
                    <a:blip r:embed="rId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736215" cy="1835785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spacing w:line="576" w:lineRule="exact"/>
        <w:ind w:firstLine="643" w:firstLineChars="200"/>
        <w:rPr>
          <w:rFonts w:ascii="Times New Roman" w:hAnsi="Times New Roman" w:eastAsia="仿宋_GB2312" w:cs="Times New Roman"/>
          <w:kern w:val="0"/>
          <w:sz w:val="32"/>
        </w:rPr>
      </w:pPr>
      <w:r>
        <w:rPr>
          <w:rFonts w:hint="eastAsia" w:ascii="仿宋_GB2312" w:eastAsia="仿宋_GB2312"/>
          <w:b/>
          <w:bCs/>
          <w:sz w:val="32"/>
          <w:szCs w:val="32"/>
        </w:rPr>
        <w:t>5.</w:t>
      </w:r>
      <w:r>
        <w:rPr>
          <w:rFonts w:ascii="仿宋_GB2312" w:eastAsia="仿宋_GB2312"/>
          <w:b/>
          <w:bCs/>
          <w:sz w:val="32"/>
          <w:szCs w:val="32"/>
        </w:rPr>
        <w:t>监督保障</w:t>
      </w:r>
      <w:r>
        <w:rPr>
          <w:rFonts w:hint="eastAsia" w:ascii="仿宋_GB2312" w:eastAsia="仿宋_GB2312"/>
          <w:b/>
          <w:bCs/>
          <w:sz w:val="32"/>
          <w:szCs w:val="32"/>
        </w:rPr>
        <w:t>。</w:t>
      </w:r>
      <w:r>
        <w:rPr>
          <w:rFonts w:hint="eastAsia" w:ascii="仿宋_GB2312" w:eastAsia="仿宋_GB2312"/>
          <w:sz w:val="32"/>
          <w:szCs w:val="32"/>
        </w:rPr>
        <w:t>将政务公开纳入区级年度考核，制定《2021年临港区政务公开考核标准》，明确了各单位职责分工，</w:t>
      </w:r>
      <w:r>
        <w:rPr>
          <w:rFonts w:hint="eastAsia" w:ascii="Times New Roman" w:hAnsi="Times New Roman" w:eastAsia="仿宋_GB2312"/>
          <w:sz w:val="32"/>
        </w:rPr>
        <w:t>要求</w:t>
      </w:r>
      <w:r>
        <w:rPr>
          <w:rFonts w:ascii="Times New Roman" w:hAnsi="Times New Roman" w:eastAsia="仿宋_GB2312"/>
          <w:sz w:val="32"/>
        </w:rPr>
        <w:t>各</w:t>
      </w:r>
      <w:r>
        <w:rPr>
          <w:rFonts w:hint="eastAsia" w:ascii="Times New Roman" w:hAnsi="Times New Roman" w:eastAsia="仿宋_GB2312"/>
          <w:sz w:val="32"/>
        </w:rPr>
        <w:t>成员</w:t>
      </w:r>
      <w:r>
        <w:rPr>
          <w:rFonts w:ascii="Times New Roman" w:hAnsi="Times New Roman" w:eastAsia="仿宋_GB2312"/>
          <w:sz w:val="32"/>
        </w:rPr>
        <w:t>单位至少有1名</w:t>
      </w:r>
      <w:r>
        <w:rPr>
          <w:rFonts w:hint="eastAsia" w:ascii="Times New Roman" w:hAnsi="Times New Roman" w:eastAsia="仿宋_GB2312"/>
          <w:sz w:val="32"/>
        </w:rPr>
        <w:t>人员</w:t>
      </w:r>
      <w:r>
        <w:rPr>
          <w:rFonts w:ascii="Times New Roman" w:hAnsi="Times New Roman" w:eastAsia="仿宋_GB2312"/>
          <w:sz w:val="32"/>
        </w:rPr>
        <w:t>负责网站内容建设和</w:t>
      </w:r>
      <w:r>
        <w:rPr>
          <w:rFonts w:hint="eastAsia" w:ascii="Times New Roman" w:hAnsi="Times New Roman" w:eastAsia="仿宋_GB2312"/>
          <w:sz w:val="32"/>
        </w:rPr>
        <w:t>政府</w:t>
      </w:r>
      <w:r>
        <w:rPr>
          <w:rFonts w:ascii="Times New Roman" w:hAnsi="Times New Roman" w:eastAsia="仿宋_GB2312"/>
          <w:sz w:val="32"/>
        </w:rPr>
        <w:t>信息公开</w:t>
      </w:r>
      <w:r>
        <w:rPr>
          <w:rFonts w:hint="eastAsia" w:ascii="仿宋_GB2312" w:eastAsia="仿宋_GB2312"/>
          <w:sz w:val="32"/>
          <w:szCs w:val="32"/>
        </w:rPr>
        <w:t>；定期检查管委门户网站及政务新媒体各栏目存在的问题，发现问题第一时间整改，结合检查整改情况，</w:t>
      </w:r>
      <w:r>
        <w:rPr>
          <w:rFonts w:ascii="Times New Roman" w:hAnsi="Times New Roman" w:eastAsia="仿宋_GB2312" w:cs="Times New Roman"/>
          <w:kern w:val="0"/>
          <w:sz w:val="32"/>
        </w:rPr>
        <w:t>组织开展政务公开业务培训会议</w:t>
      </w:r>
      <w:r>
        <w:rPr>
          <w:rFonts w:hint="eastAsia" w:ascii="Times New Roman" w:hAnsi="Times New Roman" w:eastAsia="仿宋_GB2312" w:cs="Times New Roman"/>
          <w:kern w:val="0"/>
          <w:sz w:val="32"/>
        </w:rPr>
        <w:t>2次</w:t>
      </w:r>
      <w:r>
        <w:rPr>
          <w:rFonts w:ascii="Times New Roman" w:hAnsi="Times New Roman" w:eastAsia="仿宋_GB2312" w:cs="Times New Roman"/>
          <w:kern w:val="0"/>
          <w:sz w:val="32"/>
        </w:rPr>
        <w:t>，</w:t>
      </w:r>
      <w:r>
        <w:rPr>
          <w:rFonts w:hint="eastAsia" w:ascii="Times New Roman" w:hAnsi="Times New Roman" w:eastAsia="仿宋_GB2312" w:cs="Times New Roman"/>
          <w:kern w:val="0"/>
          <w:sz w:val="32"/>
        </w:rPr>
        <w:t>力促政务公开工作健康、稳定、有序开展。</w:t>
      </w:r>
    </w:p>
    <w:p>
      <w:pPr>
        <w:rPr>
          <w:rFonts w:ascii="黑体" w:hAnsi="黑体" w:eastAsia="黑体"/>
          <w:sz w:val="32"/>
          <w:szCs w:val="32"/>
        </w:rPr>
      </w:pPr>
      <w:r>
        <w:rPr>
          <w:rFonts w:hint="eastAsia" w:ascii="Times New Roman" w:hAnsi="Times New Roman" w:eastAsia="仿宋_GB2312" w:cs="Times New Roman"/>
          <w:kern w:val="0"/>
          <w:sz w:val="32"/>
        </w:rPr>
        <w:drawing>
          <wp:inline distT="0" distB="0" distL="114300" distR="114300">
            <wp:extent cx="2735580" cy="2051685"/>
            <wp:effectExtent l="0" t="0" r="7620" b="5715"/>
            <wp:docPr id="5" name="图片 5" descr="2d1641f8db43193bcc9b9ae74a7b38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5" descr="2d1641f8db43193bcc9b9ae74a7b385"/>
                    <pic:cNvPicPr>
                      <a:picLocks noChangeAspect="1"/>
                    </pic:cNvPicPr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735580" cy="20516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ascii="Times New Roman" w:hAnsi="Times New Roman" w:eastAsia="仿宋_GB2312" w:cs="Times New Roman"/>
          <w:kern w:val="0"/>
          <w:sz w:val="32"/>
        </w:rPr>
        <w:t xml:space="preserve"> </w:t>
      </w:r>
      <w:r>
        <w:rPr>
          <w:rFonts w:hint="eastAsia" w:ascii="Times New Roman" w:hAnsi="Times New Roman" w:eastAsia="仿宋_GB2312" w:cs="Times New Roman"/>
          <w:kern w:val="0"/>
          <w:sz w:val="32"/>
        </w:rPr>
        <w:drawing>
          <wp:inline distT="0" distB="0" distL="114300" distR="114300">
            <wp:extent cx="2735580" cy="2051685"/>
            <wp:effectExtent l="0" t="0" r="7620" b="5715"/>
            <wp:docPr id="10" name="图片 10" descr="d145c13b59cdba6a2a9683dc6b2c0ec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图片 10" descr="d145c13b59cdba6a2a9683dc6b2c0ec"/>
                    <pic:cNvPicPr>
                      <a:picLocks noChangeAspect="1"/>
                    </pic:cNvPicPr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735580" cy="20516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numPr>
          <w:ilvl w:val="0"/>
          <w:numId w:val="1"/>
        </w:numPr>
        <w:spacing w:line="576" w:lineRule="exact"/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主动公开政府信息情况统计表</w:t>
      </w:r>
    </w:p>
    <w:p>
      <w:pPr>
        <w:rPr>
          <w:rFonts w:ascii="黑体" w:hAnsi="黑体" w:eastAsia="黑体"/>
          <w:szCs w:val="21"/>
        </w:rPr>
      </w:pPr>
    </w:p>
    <w:tbl>
      <w:tblPr>
        <w:tblStyle w:val="16"/>
        <w:tblW w:w="8824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06"/>
        <w:gridCol w:w="2206"/>
        <w:gridCol w:w="2206"/>
        <w:gridCol w:w="2206"/>
      </w:tblGrid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8824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000000" w:fill="C6D9F1"/>
            <w:vAlign w:val="center"/>
          </w:tcPr>
          <w:p>
            <w:pPr>
              <w:jc w:val="center"/>
              <w:rPr>
                <w:rFonts w:ascii="黑体" w:hAnsi="黑体" w:eastAsia="黑体" w:cs="宋体"/>
                <w:kern w:val="0"/>
                <w:szCs w:val="21"/>
              </w:rPr>
            </w:pPr>
            <w:r>
              <w:rPr>
                <w:rFonts w:hint="eastAsia" w:ascii="黑体" w:hAnsi="黑体" w:eastAsia="黑体" w:cs="宋体"/>
                <w:kern w:val="0"/>
                <w:szCs w:val="21"/>
              </w:rPr>
              <w:t>第二十条第（一）项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hAnsi="宋体" w:eastAsia="仿宋_GB2312" w:cs="宋体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kern w:val="0"/>
                <w:szCs w:val="21"/>
              </w:rPr>
              <w:t>信息内容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hAnsi="宋体" w:eastAsia="仿宋_GB2312" w:cs="宋体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kern w:val="0"/>
                <w:szCs w:val="21"/>
              </w:rPr>
              <w:t>本年制发件数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hAnsi="宋体" w:eastAsia="仿宋_GB2312" w:cs="宋体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kern w:val="0"/>
                <w:szCs w:val="21"/>
              </w:rPr>
              <w:t>本年废止件数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hAnsi="宋体" w:eastAsia="仿宋_GB2312" w:cs="宋体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kern w:val="0"/>
                <w:szCs w:val="21"/>
              </w:rPr>
              <w:t>现行有效件数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jc w:val="left"/>
              <w:rPr>
                <w:rFonts w:ascii="仿宋_GB2312" w:hAnsi="宋体" w:eastAsia="仿宋_GB2312" w:cs="宋体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kern w:val="0"/>
                <w:szCs w:val="21"/>
              </w:rPr>
              <w:t>规章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hAnsi="宋体" w:eastAsia="仿宋_GB2312" w:cs="宋体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kern w:val="0"/>
                <w:szCs w:val="21"/>
              </w:rPr>
              <w:t>0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hAnsi="宋体" w:eastAsia="仿宋_GB2312" w:cs="宋体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kern w:val="0"/>
                <w:szCs w:val="21"/>
              </w:rPr>
              <w:t>0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hAnsi="Calibri" w:eastAsia="仿宋_GB2312" w:cs="Calibri"/>
                <w:kern w:val="0"/>
                <w:szCs w:val="21"/>
              </w:rPr>
            </w:pPr>
            <w:r>
              <w:rPr>
                <w:rFonts w:hint="eastAsia" w:ascii="仿宋_GB2312" w:hAnsi="Calibri" w:eastAsia="仿宋_GB2312" w:cs="Calibri"/>
                <w:kern w:val="0"/>
                <w:szCs w:val="21"/>
              </w:rPr>
              <w:t>0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jc w:val="left"/>
              <w:rPr>
                <w:rFonts w:ascii="仿宋_GB2312" w:hAnsi="宋体" w:eastAsia="仿宋_GB2312" w:cs="宋体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kern w:val="0"/>
                <w:szCs w:val="21"/>
              </w:rPr>
              <w:t>行政规范性文件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hAnsi="宋体" w:eastAsia="仿宋_GB2312" w:cs="宋体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kern w:val="0"/>
                <w:szCs w:val="21"/>
              </w:rPr>
              <w:t>5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hAnsi="宋体" w:eastAsia="仿宋_GB2312" w:cs="宋体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kern w:val="0"/>
                <w:szCs w:val="21"/>
              </w:rPr>
              <w:t>0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hAnsi="Calibri" w:eastAsia="仿宋_GB2312" w:cs="Calibri"/>
                <w:kern w:val="0"/>
                <w:szCs w:val="21"/>
              </w:rPr>
            </w:pPr>
            <w:r>
              <w:rPr>
                <w:rFonts w:hint="eastAsia" w:ascii="仿宋_GB2312" w:hAnsi="Calibri" w:eastAsia="仿宋_GB2312" w:cs="Calibri"/>
                <w:kern w:val="0"/>
                <w:szCs w:val="21"/>
              </w:rPr>
              <w:t>11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8824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000000" w:fill="C6D9F1"/>
            <w:vAlign w:val="center"/>
          </w:tcPr>
          <w:p>
            <w:pPr>
              <w:jc w:val="center"/>
              <w:rPr>
                <w:rFonts w:ascii="黑体" w:hAnsi="黑体" w:eastAsia="黑体" w:cs="宋体"/>
                <w:kern w:val="0"/>
                <w:szCs w:val="21"/>
              </w:rPr>
            </w:pPr>
            <w:r>
              <w:rPr>
                <w:rFonts w:hint="eastAsia" w:ascii="黑体" w:hAnsi="黑体" w:eastAsia="黑体" w:cs="宋体"/>
                <w:kern w:val="0"/>
                <w:szCs w:val="21"/>
              </w:rPr>
              <w:t>第二十条第（五）项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hAnsi="宋体" w:eastAsia="仿宋_GB2312" w:cs="宋体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kern w:val="0"/>
                <w:szCs w:val="21"/>
              </w:rPr>
              <w:t>信息内容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hAnsi="宋体" w:eastAsia="仿宋_GB2312" w:cs="宋体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kern w:val="0"/>
                <w:szCs w:val="21"/>
              </w:rPr>
              <w:t>本年处理决定数量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jc w:val="left"/>
              <w:rPr>
                <w:rFonts w:ascii="仿宋_GB2312" w:hAnsi="宋体" w:eastAsia="仿宋_GB2312" w:cs="宋体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kern w:val="0"/>
                <w:szCs w:val="21"/>
              </w:rPr>
              <w:t>行政许可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hAnsi="Calibri" w:eastAsia="仿宋_GB2312" w:cs="Calibri"/>
                <w:kern w:val="0"/>
                <w:szCs w:val="21"/>
              </w:rPr>
            </w:pPr>
            <w:r>
              <w:rPr>
                <w:rFonts w:hint="eastAsia" w:ascii="仿宋_GB2312" w:hAnsi="Calibri" w:eastAsia="仿宋_GB2312" w:cs="Calibri"/>
                <w:kern w:val="0"/>
                <w:szCs w:val="21"/>
              </w:rPr>
              <w:t>5416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8824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000000" w:fill="C6D9F1"/>
            <w:vAlign w:val="center"/>
          </w:tcPr>
          <w:p>
            <w:pPr>
              <w:jc w:val="center"/>
              <w:rPr>
                <w:rFonts w:ascii="黑体" w:hAnsi="黑体" w:eastAsia="黑体" w:cs="宋体"/>
                <w:kern w:val="0"/>
                <w:szCs w:val="21"/>
              </w:rPr>
            </w:pPr>
            <w:r>
              <w:rPr>
                <w:rFonts w:hint="eastAsia" w:ascii="黑体" w:hAnsi="黑体" w:eastAsia="黑体" w:cs="宋体"/>
                <w:kern w:val="0"/>
                <w:szCs w:val="21"/>
              </w:rPr>
              <w:t>第二十条第（六）项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hAnsi="宋体" w:eastAsia="仿宋_GB2312" w:cs="宋体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kern w:val="0"/>
                <w:szCs w:val="21"/>
              </w:rPr>
              <w:t>信息内容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hAnsi="宋体" w:eastAsia="仿宋_GB2312" w:cs="宋体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kern w:val="0"/>
                <w:szCs w:val="21"/>
              </w:rPr>
              <w:t>本年处理决定数量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jc w:val="left"/>
              <w:rPr>
                <w:rFonts w:ascii="仿宋_GB2312" w:hAnsi="宋体" w:eastAsia="仿宋_GB2312" w:cs="宋体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kern w:val="0"/>
                <w:szCs w:val="21"/>
              </w:rPr>
              <w:t>行政处罚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hAnsi="宋体" w:eastAsia="仿宋_GB2312" w:cs="宋体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kern w:val="0"/>
                <w:szCs w:val="21"/>
              </w:rPr>
              <w:t>271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jc w:val="left"/>
              <w:rPr>
                <w:rFonts w:ascii="仿宋_GB2312" w:hAnsi="宋体" w:eastAsia="仿宋_GB2312" w:cs="宋体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kern w:val="0"/>
                <w:szCs w:val="21"/>
              </w:rPr>
              <w:t>行政强制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hAnsi="宋体" w:eastAsia="仿宋_GB2312" w:cs="宋体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kern w:val="0"/>
                <w:szCs w:val="21"/>
              </w:rPr>
              <w:t>21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8824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000000" w:fill="C6D9F1"/>
            <w:vAlign w:val="center"/>
          </w:tcPr>
          <w:p>
            <w:pPr>
              <w:jc w:val="center"/>
              <w:rPr>
                <w:rFonts w:ascii="黑体" w:hAnsi="黑体" w:eastAsia="黑体" w:cs="宋体"/>
                <w:kern w:val="0"/>
                <w:szCs w:val="21"/>
              </w:rPr>
            </w:pPr>
            <w:r>
              <w:rPr>
                <w:rFonts w:hint="eastAsia" w:ascii="黑体" w:hAnsi="黑体" w:eastAsia="黑体" w:cs="宋体"/>
                <w:kern w:val="0"/>
                <w:szCs w:val="21"/>
              </w:rPr>
              <w:t>第二十条第（八）项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hAnsi="宋体" w:eastAsia="仿宋_GB2312" w:cs="宋体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kern w:val="0"/>
                <w:szCs w:val="21"/>
              </w:rPr>
              <w:t>信息内容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hAnsi="宋体" w:eastAsia="仿宋_GB2312" w:cs="宋体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kern w:val="0"/>
                <w:szCs w:val="21"/>
              </w:rPr>
              <w:t>本年收费金额（单位：万元）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jc w:val="left"/>
              <w:rPr>
                <w:rFonts w:ascii="仿宋_GB2312" w:hAnsi="宋体" w:eastAsia="仿宋_GB2312" w:cs="宋体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kern w:val="0"/>
                <w:szCs w:val="21"/>
              </w:rPr>
              <w:t>行政事业性收费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hAnsi="Calibri" w:eastAsia="仿宋_GB2312" w:cs="Calibri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kern w:val="0"/>
                <w:szCs w:val="21"/>
              </w:rPr>
              <w:t>706</w:t>
            </w:r>
          </w:p>
        </w:tc>
      </w:tr>
    </w:tbl>
    <w:p>
      <w:pPr>
        <w:numPr>
          <w:ilvl w:val="0"/>
          <w:numId w:val="2"/>
        </w:numPr>
        <w:spacing w:line="576" w:lineRule="exact"/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收到和处理政府信息公开申请情况</w:t>
      </w:r>
    </w:p>
    <w:p>
      <w:pPr>
        <w:rPr>
          <w:rFonts w:ascii="黑体" w:hAnsi="黑体" w:eastAsia="黑体"/>
          <w:szCs w:val="21"/>
        </w:rPr>
      </w:pPr>
    </w:p>
    <w:tbl>
      <w:tblPr>
        <w:tblStyle w:val="16"/>
        <w:tblW w:w="9382" w:type="dxa"/>
        <w:tblInd w:w="0" w:type="dxa"/>
        <w:tblBorders>
          <w:top w:val="single" w:color="auto" w:sz="8" w:space="0"/>
          <w:left w:val="single" w:color="auto" w:sz="8" w:space="0"/>
          <w:bottom w:val="single" w:color="auto" w:sz="8" w:space="0"/>
          <w:right w:val="single" w:color="auto" w:sz="8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416"/>
        <w:gridCol w:w="1702"/>
        <w:gridCol w:w="2979"/>
        <w:gridCol w:w="655"/>
        <w:gridCol w:w="570"/>
        <w:gridCol w:w="540"/>
        <w:gridCol w:w="690"/>
        <w:gridCol w:w="705"/>
        <w:gridCol w:w="555"/>
        <w:gridCol w:w="570"/>
      </w:tblGrid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0" w:hRule="atLeast"/>
        </w:trPr>
        <w:tc>
          <w:tcPr>
            <w:tcW w:w="5097" w:type="dxa"/>
            <w:gridSpan w:val="3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40" w:lineRule="exact"/>
              <w:jc w:val="center"/>
              <w:rPr>
                <w:rFonts w:ascii="楷体_GB2312" w:hAnsi="黑体" w:eastAsia="楷体_GB2312"/>
                <w:kern w:val="0"/>
                <w:szCs w:val="21"/>
              </w:rPr>
            </w:pPr>
            <w:r>
              <w:rPr>
                <w:rFonts w:hint="eastAsia" w:ascii="楷体_GB2312" w:hAnsi="黑体" w:eastAsia="楷体_GB2312"/>
                <w:kern w:val="0"/>
                <w:szCs w:val="21"/>
              </w:rPr>
              <w:t>（本列数据的勾稽关系为：第一项加第二项之和，</w:t>
            </w:r>
          </w:p>
          <w:p>
            <w:pPr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楷体_GB2312" w:hAnsi="黑体" w:eastAsia="楷体_GB2312"/>
                <w:kern w:val="0"/>
                <w:szCs w:val="21"/>
              </w:rPr>
              <w:t>等于第三项加第四项之和）</w:t>
            </w:r>
          </w:p>
        </w:tc>
        <w:tc>
          <w:tcPr>
            <w:tcW w:w="4285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40" w:lineRule="exact"/>
              <w:jc w:val="center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申请人情况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2" w:hRule="atLeast"/>
        </w:trPr>
        <w:tc>
          <w:tcPr>
            <w:tcW w:w="5097" w:type="dxa"/>
            <w:gridSpan w:val="3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</w:p>
        </w:tc>
        <w:tc>
          <w:tcPr>
            <w:tcW w:w="655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40" w:lineRule="exact"/>
              <w:jc w:val="center"/>
              <w:rPr>
                <w:rFonts w:ascii="黑体" w:hAnsi="黑体" w:eastAsia="黑体"/>
                <w:kern w:val="0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自</w:t>
            </w:r>
          </w:p>
          <w:p>
            <w:pPr>
              <w:spacing w:line="240" w:lineRule="exact"/>
              <w:jc w:val="center"/>
              <w:rPr>
                <w:rFonts w:ascii="黑体" w:hAnsi="黑体" w:eastAsia="黑体"/>
                <w:kern w:val="0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然</w:t>
            </w:r>
          </w:p>
          <w:p>
            <w:pPr>
              <w:spacing w:line="240" w:lineRule="exact"/>
              <w:jc w:val="center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人</w:t>
            </w:r>
          </w:p>
        </w:tc>
        <w:tc>
          <w:tcPr>
            <w:tcW w:w="3060" w:type="dxa"/>
            <w:gridSpan w:val="5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40" w:lineRule="exact"/>
              <w:jc w:val="center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法人或其他组织</w:t>
            </w:r>
          </w:p>
        </w:tc>
        <w:tc>
          <w:tcPr>
            <w:tcW w:w="570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40" w:lineRule="exact"/>
              <w:jc w:val="center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总计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9" w:hRule="atLeast"/>
        </w:trPr>
        <w:tc>
          <w:tcPr>
            <w:tcW w:w="5097" w:type="dxa"/>
            <w:gridSpan w:val="3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</w:p>
        </w:tc>
        <w:tc>
          <w:tcPr>
            <w:tcW w:w="655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40" w:lineRule="exact"/>
              <w:jc w:val="center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57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40" w:lineRule="exact"/>
              <w:ind w:left="-106" w:leftChars="-51" w:right="-107" w:rightChars="-51" w:hanging="1"/>
              <w:jc w:val="center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商业企业</w:t>
            </w:r>
          </w:p>
        </w:tc>
        <w:tc>
          <w:tcPr>
            <w:tcW w:w="54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40" w:lineRule="exact"/>
              <w:ind w:left="-107" w:leftChars="-51" w:right="-107" w:rightChars="-51"/>
              <w:jc w:val="center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科研机构</w:t>
            </w:r>
          </w:p>
        </w:tc>
        <w:tc>
          <w:tcPr>
            <w:tcW w:w="69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40" w:lineRule="exact"/>
              <w:ind w:left="-107" w:leftChars="-51" w:right="-107" w:rightChars="-51"/>
              <w:jc w:val="center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社会公益组织</w:t>
            </w:r>
          </w:p>
        </w:tc>
        <w:tc>
          <w:tcPr>
            <w:tcW w:w="70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40" w:lineRule="exact"/>
              <w:ind w:left="-106" w:leftChars="-51" w:right="-107" w:rightChars="-51" w:hanging="1"/>
              <w:jc w:val="center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法律服务机构</w:t>
            </w:r>
          </w:p>
        </w:tc>
        <w:tc>
          <w:tcPr>
            <w:tcW w:w="55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40" w:lineRule="exact"/>
              <w:ind w:left="-63" w:leftChars="-30" w:right="-134" w:rightChars="-64"/>
              <w:jc w:val="center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其他</w:t>
            </w:r>
          </w:p>
        </w:tc>
        <w:tc>
          <w:tcPr>
            <w:tcW w:w="570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4" w:hRule="atLeast"/>
        </w:trPr>
        <w:tc>
          <w:tcPr>
            <w:tcW w:w="5097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40" w:lineRule="exact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一、</w:t>
            </w:r>
            <w:bookmarkStart w:id="1" w:name="_Hlk66973412"/>
            <w:r>
              <w:rPr>
                <w:rFonts w:hint="eastAsia" w:ascii="黑体" w:hAnsi="黑体" w:eastAsia="黑体"/>
                <w:kern w:val="0"/>
                <w:szCs w:val="21"/>
              </w:rPr>
              <w:t>本年新收政府信息公开申请数量</w:t>
            </w:r>
            <w:bookmarkEnd w:id="1"/>
          </w:p>
        </w:tc>
        <w:tc>
          <w:tcPr>
            <w:tcW w:w="65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ascii="仿宋_GB2312" w:hAnsi="宋体" w:eastAsia="仿宋_GB2312" w:cs="宋体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kern w:val="0"/>
                <w:szCs w:val="21"/>
              </w:rPr>
              <w:t>6</w:t>
            </w:r>
          </w:p>
        </w:tc>
        <w:tc>
          <w:tcPr>
            <w:tcW w:w="57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ascii="仿宋_GB2312" w:hAnsi="宋体" w:eastAsia="仿宋_GB2312" w:cs="宋体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kern w:val="0"/>
                <w:szCs w:val="21"/>
              </w:rPr>
              <w:t>0</w:t>
            </w:r>
          </w:p>
        </w:tc>
        <w:tc>
          <w:tcPr>
            <w:tcW w:w="54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ascii="仿宋_GB2312" w:hAnsi="宋体" w:eastAsia="仿宋_GB2312" w:cs="宋体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kern w:val="0"/>
                <w:szCs w:val="21"/>
              </w:rPr>
              <w:t>0</w:t>
            </w:r>
          </w:p>
        </w:tc>
        <w:tc>
          <w:tcPr>
            <w:tcW w:w="69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ascii="仿宋_GB2312" w:hAnsi="宋体" w:eastAsia="仿宋_GB2312" w:cs="宋体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kern w:val="0"/>
                <w:szCs w:val="21"/>
              </w:rPr>
              <w:t>0</w:t>
            </w:r>
          </w:p>
        </w:tc>
        <w:tc>
          <w:tcPr>
            <w:tcW w:w="70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ascii="仿宋_GB2312" w:hAnsi="宋体" w:eastAsia="仿宋_GB2312" w:cs="宋体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kern w:val="0"/>
                <w:szCs w:val="21"/>
              </w:rPr>
              <w:t>0</w:t>
            </w:r>
          </w:p>
        </w:tc>
        <w:tc>
          <w:tcPr>
            <w:tcW w:w="55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ascii="仿宋_GB2312" w:hAnsi="宋体" w:eastAsia="仿宋_GB2312" w:cs="宋体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kern w:val="0"/>
                <w:szCs w:val="21"/>
              </w:rPr>
              <w:t>0</w:t>
            </w:r>
          </w:p>
        </w:tc>
        <w:tc>
          <w:tcPr>
            <w:tcW w:w="57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ascii="仿宋_GB2312" w:hAnsi="宋体" w:eastAsia="仿宋_GB2312" w:cs="宋体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kern w:val="0"/>
                <w:szCs w:val="21"/>
              </w:rPr>
              <w:t>6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4" w:hRule="atLeast"/>
        </w:trPr>
        <w:tc>
          <w:tcPr>
            <w:tcW w:w="5097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40" w:lineRule="exact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二、上年结转政府信息公开申请数量</w:t>
            </w:r>
          </w:p>
        </w:tc>
        <w:tc>
          <w:tcPr>
            <w:tcW w:w="65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ascii="仿宋_GB2312" w:hAnsi="宋体" w:eastAsia="仿宋_GB2312" w:cs="宋体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kern w:val="0"/>
                <w:szCs w:val="21"/>
              </w:rPr>
              <w:t>0</w:t>
            </w:r>
          </w:p>
        </w:tc>
        <w:tc>
          <w:tcPr>
            <w:tcW w:w="57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ascii="仿宋_GB2312" w:hAnsi="宋体" w:eastAsia="仿宋_GB2312" w:cs="宋体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kern w:val="0"/>
                <w:szCs w:val="21"/>
              </w:rPr>
              <w:t>0</w:t>
            </w:r>
          </w:p>
        </w:tc>
        <w:tc>
          <w:tcPr>
            <w:tcW w:w="54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ascii="仿宋_GB2312" w:hAnsi="宋体" w:eastAsia="仿宋_GB2312" w:cs="宋体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kern w:val="0"/>
                <w:szCs w:val="21"/>
              </w:rPr>
              <w:t>0</w:t>
            </w:r>
          </w:p>
        </w:tc>
        <w:tc>
          <w:tcPr>
            <w:tcW w:w="69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ascii="仿宋_GB2312" w:hAnsi="宋体" w:eastAsia="仿宋_GB2312" w:cs="宋体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kern w:val="0"/>
                <w:szCs w:val="21"/>
              </w:rPr>
              <w:t>0</w:t>
            </w:r>
          </w:p>
        </w:tc>
        <w:tc>
          <w:tcPr>
            <w:tcW w:w="70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ascii="仿宋_GB2312" w:hAnsi="宋体" w:eastAsia="仿宋_GB2312" w:cs="宋体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kern w:val="0"/>
                <w:szCs w:val="21"/>
              </w:rPr>
              <w:t>0</w:t>
            </w:r>
          </w:p>
        </w:tc>
        <w:tc>
          <w:tcPr>
            <w:tcW w:w="55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ascii="仿宋_GB2312" w:hAnsi="宋体" w:eastAsia="仿宋_GB2312" w:cs="宋体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kern w:val="0"/>
                <w:szCs w:val="21"/>
              </w:rPr>
              <w:t>0</w:t>
            </w:r>
          </w:p>
        </w:tc>
        <w:tc>
          <w:tcPr>
            <w:tcW w:w="57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ascii="仿宋_GB2312" w:hAnsi="宋体" w:eastAsia="仿宋_GB2312" w:cs="宋体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kern w:val="0"/>
                <w:szCs w:val="21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4" w:hRule="atLeast"/>
        </w:trPr>
        <w:tc>
          <w:tcPr>
            <w:tcW w:w="416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after="180" w:line="240" w:lineRule="exact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三、本年度办理结果</w:t>
            </w:r>
          </w:p>
        </w:tc>
        <w:tc>
          <w:tcPr>
            <w:tcW w:w="4681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40" w:lineRule="exact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（一）予以公开</w:t>
            </w:r>
          </w:p>
        </w:tc>
        <w:tc>
          <w:tcPr>
            <w:tcW w:w="65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ascii="仿宋_GB2312" w:hAnsi="宋体" w:eastAsia="仿宋_GB2312" w:cs="宋体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kern w:val="0"/>
                <w:szCs w:val="21"/>
              </w:rPr>
              <w:t>1</w:t>
            </w:r>
          </w:p>
        </w:tc>
        <w:tc>
          <w:tcPr>
            <w:tcW w:w="57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ascii="仿宋_GB2312" w:hAnsi="宋体" w:eastAsia="仿宋_GB2312" w:cs="宋体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kern w:val="0"/>
                <w:szCs w:val="21"/>
              </w:rPr>
              <w:t>0</w:t>
            </w:r>
          </w:p>
        </w:tc>
        <w:tc>
          <w:tcPr>
            <w:tcW w:w="54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ascii="仿宋_GB2312" w:hAnsi="宋体" w:eastAsia="仿宋_GB2312" w:cs="宋体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kern w:val="0"/>
                <w:szCs w:val="21"/>
              </w:rPr>
              <w:t>0</w:t>
            </w:r>
          </w:p>
        </w:tc>
        <w:tc>
          <w:tcPr>
            <w:tcW w:w="69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ascii="仿宋_GB2312" w:hAnsi="宋体" w:eastAsia="仿宋_GB2312" w:cs="宋体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kern w:val="0"/>
                <w:szCs w:val="21"/>
              </w:rPr>
              <w:t>0</w:t>
            </w:r>
          </w:p>
        </w:tc>
        <w:tc>
          <w:tcPr>
            <w:tcW w:w="70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ascii="仿宋_GB2312" w:hAnsi="宋体" w:eastAsia="仿宋_GB2312" w:cs="宋体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kern w:val="0"/>
                <w:szCs w:val="21"/>
              </w:rPr>
              <w:t>0</w:t>
            </w:r>
          </w:p>
        </w:tc>
        <w:tc>
          <w:tcPr>
            <w:tcW w:w="55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ascii="仿宋_GB2312" w:hAnsi="宋体" w:eastAsia="仿宋_GB2312" w:cs="宋体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kern w:val="0"/>
                <w:szCs w:val="21"/>
              </w:rPr>
              <w:t>0</w:t>
            </w:r>
          </w:p>
        </w:tc>
        <w:tc>
          <w:tcPr>
            <w:tcW w:w="57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ascii="仿宋_GB2312" w:hAnsi="宋体" w:eastAsia="仿宋_GB2312" w:cs="宋体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kern w:val="0"/>
                <w:szCs w:val="21"/>
              </w:rPr>
              <w:t>1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9" w:hRule="atLeast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4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4681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40" w:lineRule="exact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（二）部分公开（</w:t>
            </w:r>
            <w:bookmarkStart w:id="2" w:name="_Hlk66973981"/>
            <w:r>
              <w:rPr>
                <w:rFonts w:hint="eastAsia" w:ascii="黑体" w:hAnsi="黑体" w:eastAsia="黑体"/>
                <w:kern w:val="0"/>
                <w:szCs w:val="21"/>
              </w:rPr>
              <w:t>区分处理的，只计这一情形，不计其他情形</w:t>
            </w:r>
            <w:bookmarkEnd w:id="2"/>
            <w:r>
              <w:rPr>
                <w:rFonts w:hint="eastAsia" w:ascii="黑体" w:hAnsi="黑体" w:eastAsia="黑体"/>
                <w:kern w:val="0"/>
                <w:szCs w:val="21"/>
              </w:rPr>
              <w:t>）</w:t>
            </w:r>
          </w:p>
        </w:tc>
        <w:tc>
          <w:tcPr>
            <w:tcW w:w="65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ascii="仿宋_GB2312" w:hAnsi="宋体" w:eastAsia="仿宋_GB2312" w:cs="宋体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kern w:val="0"/>
                <w:szCs w:val="21"/>
              </w:rPr>
              <w:t>2</w:t>
            </w:r>
          </w:p>
        </w:tc>
        <w:tc>
          <w:tcPr>
            <w:tcW w:w="57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ascii="仿宋_GB2312" w:hAnsi="宋体" w:eastAsia="仿宋_GB2312" w:cs="宋体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kern w:val="0"/>
                <w:szCs w:val="21"/>
              </w:rPr>
              <w:t>0</w:t>
            </w:r>
          </w:p>
        </w:tc>
        <w:tc>
          <w:tcPr>
            <w:tcW w:w="54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ascii="仿宋_GB2312" w:hAnsi="宋体" w:eastAsia="仿宋_GB2312" w:cs="宋体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kern w:val="0"/>
                <w:szCs w:val="21"/>
              </w:rPr>
              <w:t>0</w:t>
            </w:r>
          </w:p>
        </w:tc>
        <w:tc>
          <w:tcPr>
            <w:tcW w:w="69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ascii="仿宋_GB2312" w:hAnsi="宋体" w:eastAsia="仿宋_GB2312" w:cs="宋体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kern w:val="0"/>
                <w:szCs w:val="21"/>
              </w:rPr>
              <w:t>0</w:t>
            </w:r>
          </w:p>
        </w:tc>
        <w:tc>
          <w:tcPr>
            <w:tcW w:w="70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ascii="仿宋_GB2312" w:hAnsi="宋体" w:eastAsia="仿宋_GB2312" w:cs="宋体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kern w:val="0"/>
                <w:szCs w:val="21"/>
              </w:rPr>
              <w:t>0</w:t>
            </w:r>
          </w:p>
        </w:tc>
        <w:tc>
          <w:tcPr>
            <w:tcW w:w="55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ascii="仿宋_GB2312" w:hAnsi="宋体" w:eastAsia="仿宋_GB2312" w:cs="宋体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kern w:val="0"/>
                <w:szCs w:val="21"/>
              </w:rPr>
              <w:t>0</w:t>
            </w:r>
          </w:p>
        </w:tc>
        <w:tc>
          <w:tcPr>
            <w:tcW w:w="57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ascii="仿宋_GB2312" w:hAnsi="宋体" w:eastAsia="仿宋_GB2312" w:cs="宋体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kern w:val="0"/>
                <w:szCs w:val="21"/>
              </w:rPr>
              <w:t>2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7" w:hRule="atLeast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4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2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40" w:lineRule="exact"/>
              <w:ind w:left="-107" w:leftChars="-51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（三）不予公开</w:t>
            </w:r>
          </w:p>
        </w:tc>
        <w:tc>
          <w:tcPr>
            <w:tcW w:w="297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4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1.属于国家秘密</w:t>
            </w:r>
          </w:p>
        </w:tc>
        <w:tc>
          <w:tcPr>
            <w:tcW w:w="65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ascii="仿宋_GB2312" w:hAnsi="宋体" w:eastAsia="仿宋_GB2312" w:cs="宋体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kern w:val="0"/>
                <w:szCs w:val="21"/>
              </w:rPr>
              <w:t>0</w:t>
            </w:r>
          </w:p>
        </w:tc>
        <w:tc>
          <w:tcPr>
            <w:tcW w:w="57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ascii="仿宋_GB2312" w:hAnsi="宋体" w:eastAsia="仿宋_GB2312" w:cs="宋体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kern w:val="0"/>
                <w:szCs w:val="21"/>
              </w:rPr>
              <w:t>0</w:t>
            </w:r>
          </w:p>
        </w:tc>
        <w:tc>
          <w:tcPr>
            <w:tcW w:w="54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ascii="仿宋_GB2312" w:hAnsi="宋体" w:eastAsia="仿宋_GB2312" w:cs="宋体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kern w:val="0"/>
                <w:szCs w:val="21"/>
              </w:rPr>
              <w:t>0</w:t>
            </w:r>
          </w:p>
        </w:tc>
        <w:tc>
          <w:tcPr>
            <w:tcW w:w="69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ascii="仿宋_GB2312" w:hAnsi="宋体" w:eastAsia="仿宋_GB2312" w:cs="宋体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kern w:val="0"/>
                <w:szCs w:val="21"/>
              </w:rPr>
              <w:t>0</w:t>
            </w:r>
          </w:p>
        </w:tc>
        <w:tc>
          <w:tcPr>
            <w:tcW w:w="70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ascii="仿宋_GB2312" w:hAnsi="宋体" w:eastAsia="仿宋_GB2312" w:cs="宋体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kern w:val="0"/>
                <w:szCs w:val="21"/>
              </w:rPr>
              <w:t>0</w:t>
            </w:r>
          </w:p>
        </w:tc>
        <w:tc>
          <w:tcPr>
            <w:tcW w:w="55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ascii="仿宋_GB2312" w:hAnsi="宋体" w:eastAsia="仿宋_GB2312" w:cs="宋体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kern w:val="0"/>
                <w:szCs w:val="21"/>
              </w:rPr>
              <w:t>0</w:t>
            </w:r>
          </w:p>
        </w:tc>
        <w:tc>
          <w:tcPr>
            <w:tcW w:w="57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ascii="仿宋_GB2312" w:hAnsi="宋体" w:eastAsia="仿宋_GB2312" w:cs="宋体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kern w:val="0"/>
                <w:szCs w:val="21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7" w:hRule="atLeast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4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2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4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4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2.</w:t>
            </w:r>
            <w:bookmarkStart w:id="3" w:name="_Hlk66974104"/>
            <w:r>
              <w:rPr>
                <w:rFonts w:hint="eastAsia" w:ascii="仿宋_GB2312" w:hAnsi="黑体" w:eastAsia="仿宋_GB2312"/>
                <w:kern w:val="0"/>
                <w:szCs w:val="21"/>
              </w:rPr>
              <w:t>其他法律行政法规禁止公开</w:t>
            </w:r>
            <w:bookmarkEnd w:id="3"/>
          </w:p>
        </w:tc>
        <w:tc>
          <w:tcPr>
            <w:tcW w:w="65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ascii="仿宋_GB2312" w:hAnsi="宋体" w:eastAsia="仿宋_GB2312" w:cs="宋体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kern w:val="0"/>
                <w:szCs w:val="21"/>
              </w:rPr>
              <w:t>0</w:t>
            </w:r>
          </w:p>
        </w:tc>
        <w:tc>
          <w:tcPr>
            <w:tcW w:w="57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ascii="仿宋_GB2312" w:hAnsi="宋体" w:eastAsia="仿宋_GB2312" w:cs="宋体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kern w:val="0"/>
                <w:szCs w:val="21"/>
              </w:rPr>
              <w:t>0</w:t>
            </w:r>
          </w:p>
        </w:tc>
        <w:tc>
          <w:tcPr>
            <w:tcW w:w="54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ascii="仿宋_GB2312" w:hAnsi="宋体" w:eastAsia="仿宋_GB2312" w:cs="宋体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kern w:val="0"/>
                <w:szCs w:val="21"/>
              </w:rPr>
              <w:t>0</w:t>
            </w:r>
          </w:p>
        </w:tc>
        <w:tc>
          <w:tcPr>
            <w:tcW w:w="69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ascii="仿宋_GB2312" w:hAnsi="宋体" w:eastAsia="仿宋_GB2312" w:cs="宋体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kern w:val="0"/>
                <w:szCs w:val="21"/>
              </w:rPr>
              <w:t>0</w:t>
            </w:r>
          </w:p>
        </w:tc>
        <w:tc>
          <w:tcPr>
            <w:tcW w:w="70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ascii="仿宋_GB2312" w:hAnsi="宋体" w:eastAsia="仿宋_GB2312" w:cs="宋体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kern w:val="0"/>
                <w:szCs w:val="21"/>
              </w:rPr>
              <w:t>0</w:t>
            </w:r>
          </w:p>
        </w:tc>
        <w:tc>
          <w:tcPr>
            <w:tcW w:w="55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ascii="仿宋_GB2312" w:hAnsi="宋体" w:eastAsia="仿宋_GB2312" w:cs="宋体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kern w:val="0"/>
                <w:szCs w:val="21"/>
              </w:rPr>
              <w:t>0</w:t>
            </w:r>
          </w:p>
        </w:tc>
        <w:tc>
          <w:tcPr>
            <w:tcW w:w="57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ascii="仿宋_GB2312" w:hAnsi="宋体" w:eastAsia="仿宋_GB2312" w:cs="宋体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kern w:val="0"/>
                <w:szCs w:val="21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7" w:hRule="atLeast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4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2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4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4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3.危及“三安全一稳定”</w:t>
            </w:r>
          </w:p>
        </w:tc>
        <w:tc>
          <w:tcPr>
            <w:tcW w:w="65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ascii="仿宋_GB2312" w:hAnsi="宋体" w:eastAsia="仿宋_GB2312" w:cs="宋体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kern w:val="0"/>
                <w:szCs w:val="21"/>
              </w:rPr>
              <w:t>0</w:t>
            </w:r>
          </w:p>
        </w:tc>
        <w:tc>
          <w:tcPr>
            <w:tcW w:w="57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ascii="仿宋_GB2312" w:hAnsi="宋体" w:eastAsia="仿宋_GB2312" w:cs="宋体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kern w:val="0"/>
                <w:szCs w:val="21"/>
              </w:rPr>
              <w:t>0</w:t>
            </w:r>
          </w:p>
        </w:tc>
        <w:tc>
          <w:tcPr>
            <w:tcW w:w="54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ascii="仿宋_GB2312" w:hAnsi="宋体" w:eastAsia="仿宋_GB2312" w:cs="宋体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kern w:val="0"/>
                <w:szCs w:val="21"/>
              </w:rPr>
              <w:t>0</w:t>
            </w:r>
          </w:p>
        </w:tc>
        <w:tc>
          <w:tcPr>
            <w:tcW w:w="69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ascii="仿宋_GB2312" w:hAnsi="宋体" w:eastAsia="仿宋_GB2312" w:cs="宋体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kern w:val="0"/>
                <w:szCs w:val="21"/>
              </w:rPr>
              <w:t>0</w:t>
            </w:r>
          </w:p>
        </w:tc>
        <w:tc>
          <w:tcPr>
            <w:tcW w:w="70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ascii="仿宋_GB2312" w:hAnsi="宋体" w:eastAsia="仿宋_GB2312" w:cs="宋体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kern w:val="0"/>
                <w:szCs w:val="21"/>
              </w:rPr>
              <w:t>0</w:t>
            </w:r>
          </w:p>
        </w:tc>
        <w:tc>
          <w:tcPr>
            <w:tcW w:w="55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ascii="仿宋_GB2312" w:hAnsi="宋体" w:eastAsia="仿宋_GB2312" w:cs="宋体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kern w:val="0"/>
                <w:szCs w:val="21"/>
              </w:rPr>
              <w:t>0</w:t>
            </w:r>
          </w:p>
        </w:tc>
        <w:tc>
          <w:tcPr>
            <w:tcW w:w="57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ascii="仿宋_GB2312" w:hAnsi="宋体" w:eastAsia="仿宋_GB2312" w:cs="宋体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kern w:val="0"/>
                <w:szCs w:val="21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7" w:hRule="atLeast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4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2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4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4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4.</w:t>
            </w:r>
            <w:bookmarkStart w:id="4" w:name="_Hlk66974290"/>
            <w:r>
              <w:rPr>
                <w:rFonts w:hint="eastAsia" w:ascii="仿宋_GB2312" w:hAnsi="黑体" w:eastAsia="仿宋_GB2312"/>
                <w:kern w:val="0"/>
                <w:szCs w:val="21"/>
              </w:rPr>
              <w:t>保护第三方合法权益</w:t>
            </w:r>
            <w:bookmarkEnd w:id="4"/>
          </w:p>
        </w:tc>
        <w:tc>
          <w:tcPr>
            <w:tcW w:w="65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ascii="仿宋_GB2312" w:hAnsi="宋体" w:eastAsia="仿宋_GB2312" w:cs="宋体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kern w:val="0"/>
                <w:szCs w:val="21"/>
              </w:rPr>
              <w:t>0</w:t>
            </w:r>
          </w:p>
        </w:tc>
        <w:tc>
          <w:tcPr>
            <w:tcW w:w="57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ascii="仿宋_GB2312" w:hAnsi="宋体" w:eastAsia="仿宋_GB2312" w:cs="宋体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kern w:val="0"/>
                <w:szCs w:val="21"/>
              </w:rPr>
              <w:t>0</w:t>
            </w:r>
          </w:p>
        </w:tc>
        <w:tc>
          <w:tcPr>
            <w:tcW w:w="54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ascii="仿宋_GB2312" w:hAnsi="宋体" w:eastAsia="仿宋_GB2312" w:cs="宋体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kern w:val="0"/>
                <w:szCs w:val="21"/>
              </w:rPr>
              <w:t>0</w:t>
            </w:r>
          </w:p>
        </w:tc>
        <w:tc>
          <w:tcPr>
            <w:tcW w:w="69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ascii="仿宋_GB2312" w:hAnsi="宋体" w:eastAsia="仿宋_GB2312" w:cs="宋体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kern w:val="0"/>
                <w:szCs w:val="21"/>
              </w:rPr>
              <w:t>0</w:t>
            </w:r>
          </w:p>
        </w:tc>
        <w:tc>
          <w:tcPr>
            <w:tcW w:w="70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ascii="仿宋_GB2312" w:hAnsi="宋体" w:eastAsia="仿宋_GB2312" w:cs="宋体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kern w:val="0"/>
                <w:szCs w:val="21"/>
              </w:rPr>
              <w:t>0</w:t>
            </w:r>
          </w:p>
        </w:tc>
        <w:tc>
          <w:tcPr>
            <w:tcW w:w="55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ascii="仿宋_GB2312" w:hAnsi="宋体" w:eastAsia="仿宋_GB2312" w:cs="宋体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kern w:val="0"/>
                <w:szCs w:val="21"/>
              </w:rPr>
              <w:t>0</w:t>
            </w:r>
          </w:p>
        </w:tc>
        <w:tc>
          <w:tcPr>
            <w:tcW w:w="57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ascii="仿宋_GB2312" w:hAnsi="宋体" w:eastAsia="仿宋_GB2312" w:cs="宋体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kern w:val="0"/>
                <w:szCs w:val="21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7" w:hRule="atLeast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4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2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4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4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5.属于三类内部事务信息</w:t>
            </w:r>
          </w:p>
        </w:tc>
        <w:tc>
          <w:tcPr>
            <w:tcW w:w="65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ascii="仿宋_GB2312" w:hAnsi="宋体" w:eastAsia="仿宋_GB2312" w:cs="宋体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kern w:val="0"/>
                <w:szCs w:val="21"/>
              </w:rPr>
              <w:t>0</w:t>
            </w:r>
          </w:p>
        </w:tc>
        <w:tc>
          <w:tcPr>
            <w:tcW w:w="57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ascii="仿宋_GB2312" w:hAnsi="宋体" w:eastAsia="仿宋_GB2312" w:cs="宋体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kern w:val="0"/>
                <w:szCs w:val="21"/>
              </w:rPr>
              <w:t>0</w:t>
            </w:r>
          </w:p>
        </w:tc>
        <w:tc>
          <w:tcPr>
            <w:tcW w:w="54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ascii="仿宋_GB2312" w:hAnsi="宋体" w:eastAsia="仿宋_GB2312" w:cs="宋体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kern w:val="0"/>
                <w:szCs w:val="21"/>
              </w:rPr>
              <w:t>0</w:t>
            </w:r>
          </w:p>
        </w:tc>
        <w:tc>
          <w:tcPr>
            <w:tcW w:w="69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ascii="仿宋_GB2312" w:hAnsi="宋体" w:eastAsia="仿宋_GB2312" w:cs="宋体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kern w:val="0"/>
                <w:szCs w:val="21"/>
              </w:rPr>
              <w:t>0</w:t>
            </w:r>
          </w:p>
        </w:tc>
        <w:tc>
          <w:tcPr>
            <w:tcW w:w="70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ascii="仿宋_GB2312" w:hAnsi="宋体" w:eastAsia="仿宋_GB2312" w:cs="宋体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kern w:val="0"/>
                <w:szCs w:val="21"/>
              </w:rPr>
              <w:t>0</w:t>
            </w:r>
          </w:p>
        </w:tc>
        <w:tc>
          <w:tcPr>
            <w:tcW w:w="55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ascii="仿宋_GB2312" w:hAnsi="宋体" w:eastAsia="仿宋_GB2312" w:cs="宋体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kern w:val="0"/>
                <w:szCs w:val="21"/>
              </w:rPr>
              <w:t>0</w:t>
            </w:r>
          </w:p>
        </w:tc>
        <w:tc>
          <w:tcPr>
            <w:tcW w:w="57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ascii="仿宋_GB2312" w:hAnsi="宋体" w:eastAsia="仿宋_GB2312" w:cs="宋体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kern w:val="0"/>
                <w:szCs w:val="21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7" w:hRule="atLeast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4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2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4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4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6.</w:t>
            </w:r>
            <w:bookmarkStart w:id="5" w:name="_Hlk66974555"/>
            <w:r>
              <w:rPr>
                <w:rFonts w:hint="eastAsia" w:ascii="仿宋_GB2312" w:hAnsi="黑体" w:eastAsia="仿宋_GB2312"/>
                <w:kern w:val="0"/>
                <w:szCs w:val="21"/>
              </w:rPr>
              <w:t>属于四类过程性信息</w:t>
            </w:r>
            <w:bookmarkEnd w:id="5"/>
          </w:p>
        </w:tc>
        <w:tc>
          <w:tcPr>
            <w:tcW w:w="65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ascii="仿宋_GB2312" w:hAnsi="宋体" w:eastAsia="仿宋_GB2312" w:cs="宋体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kern w:val="0"/>
                <w:szCs w:val="21"/>
              </w:rPr>
              <w:t>0</w:t>
            </w:r>
          </w:p>
        </w:tc>
        <w:tc>
          <w:tcPr>
            <w:tcW w:w="57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ascii="仿宋_GB2312" w:hAnsi="宋体" w:eastAsia="仿宋_GB2312" w:cs="宋体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kern w:val="0"/>
                <w:szCs w:val="21"/>
              </w:rPr>
              <w:t>0</w:t>
            </w:r>
          </w:p>
        </w:tc>
        <w:tc>
          <w:tcPr>
            <w:tcW w:w="54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ascii="仿宋_GB2312" w:hAnsi="宋体" w:eastAsia="仿宋_GB2312" w:cs="宋体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kern w:val="0"/>
                <w:szCs w:val="21"/>
              </w:rPr>
              <w:t>0</w:t>
            </w:r>
          </w:p>
        </w:tc>
        <w:tc>
          <w:tcPr>
            <w:tcW w:w="69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ascii="仿宋_GB2312" w:hAnsi="宋体" w:eastAsia="仿宋_GB2312" w:cs="宋体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kern w:val="0"/>
                <w:szCs w:val="21"/>
              </w:rPr>
              <w:t>0</w:t>
            </w:r>
          </w:p>
        </w:tc>
        <w:tc>
          <w:tcPr>
            <w:tcW w:w="70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ascii="仿宋_GB2312" w:hAnsi="宋体" w:eastAsia="仿宋_GB2312" w:cs="宋体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kern w:val="0"/>
                <w:szCs w:val="21"/>
              </w:rPr>
              <w:t>0</w:t>
            </w:r>
          </w:p>
        </w:tc>
        <w:tc>
          <w:tcPr>
            <w:tcW w:w="55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ascii="仿宋_GB2312" w:hAnsi="宋体" w:eastAsia="仿宋_GB2312" w:cs="宋体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kern w:val="0"/>
                <w:szCs w:val="21"/>
              </w:rPr>
              <w:t>0</w:t>
            </w:r>
          </w:p>
        </w:tc>
        <w:tc>
          <w:tcPr>
            <w:tcW w:w="57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ascii="仿宋_GB2312" w:hAnsi="宋体" w:eastAsia="仿宋_GB2312" w:cs="宋体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kern w:val="0"/>
                <w:szCs w:val="21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7" w:hRule="atLeast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4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2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4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4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7.属于行政执法案卷</w:t>
            </w:r>
          </w:p>
        </w:tc>
        <w:tc>
          <w:tcPr>
            <w:tcW w:w="65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ascii="仿宋_GB2312" w:hAnsi="宋体" w:eastAsia="仿宋_GB2312" w:cs="宋体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kern w:val="0"/>
                <w:szCs w:val="21"/>
              </w:rPr>
              <w:t>0</w:t>
            </w:r>
          </w:p>
        </w:tc>
        <w:tc>
          <w:tcPr>
            <w:tcW w:w="57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ascii="仿宋_GB2312" w:hAnsi="宋体" w:eastAsia="仿宋_GB2312" w:cs="宋体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kern w:val="0"/>
                <w:szCs w:val="21"/>
              </w:rPr>
              <w:t>0</w:t>
            </w:r>
          </w:p>
        </w:tc>
        <w:tc>
          <w:tcPr>
            <w:tcW w:w="54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ascii="仿宋_GB2312" w:hAnsi="宋体" w:eastAsia="仿宋_GB2312" w:cs="宋体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kern w:val="0"/>
                <w:szCs w:val="21"/>
              </w:rPr>
              <w:t>0</w:t>
            </w:r>
          </w:p>
        </w:tc>
        <w:tc>
          <w:tcPr>
            <w:tcW w:w="69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ascii="仿宋_GB2312" w:hAnsi="宋体" w:eastAsia="仿宋_GB2312" w:cs="宋体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kern w:val="0"/>
                <w:szCs w:val="21"/>
              </w:rPr>
              <w:t>0</w:t>
            </w:r>
          </w:p>
        </w:tc>
        <w:tc>
          <w:tcPr>
            <w:tcW w:w="70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ascii="仿宋_GB2312" w:hAnsi="宋体" w:eastAsia="仿宋_GB2312" w:cs="宋体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kern w:val="0"/>
                <w:szCs w:val="21"/>
              </w:rPr>
              <w:t>0</w:t>
            </w:r>
          </w:p>
        </w:tc>
        <w:tc>
          <w:tcPr>
            <w:tcW w:w="55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ascii="仿宋_GB2312" w:hAnsi="宋体" w:eastAsia="仿宋_GB2312" w:cs="宋体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kern w:val="0"/>
                <w:szCs w:val="21"/>
              </w:rPr>
              <w:t>0</w:t>
            </w:r>
          </w:p>
        </w:tc>
        <w:tc>
          <w:tcPr>
            <w:tcW w:w="57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ascii="仿宋_GB2312" w:hAnsi="宋体" w:eastAsia="仿宋_GB2312" w:cs="宋体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kern w:val="0"/>
                <w:szCs w:val="21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7" w:hRule="atLeast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4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2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4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4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8.</w:t>
            </w:r>
            <w:bookmarkStart w:id="6" w:name="_Hlk66975211"/>
            <w:r>
              <w:rPr>
                <w:rFonts w:hint="eastAsia" w:ascii="仿宋_GB2312" w:hAnsi="黑体" w:eastAsia="仿宋_GB2312"/>
                <w:kern w:val="0"/>
                <w:szCs w:val="21"/>
              </w:rPr>
              <w:t>属于行政查询事项</w:t>
            </w:r>
            <w:bookmarkEnd w:id="6"/>
          </w:p>
        </w:tc>
        <w:tc>
          <w:tcPr>
            <w:tcW w:w="65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ascii="仿宋_GB2312" w:hAnsi="宋体" w:eastAsia="仿宋_GB2312" w:cs="宋体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kern w:val="0"/>
                <w:szCs w:val="21"/>
              </w:rPr>
              <w:t>0</w:t>
            </w:r>
          </w:p>
        </w:tc>
        <w:tc>
          <w:tcPr>
            <w:tcW w:w="57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ascii="仿宋_GB2312" w:hAnsi="宋体" w:eastAsia="仿宋_GB2312" w:cs="宋体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kern w:val="0"/>
                <w:szCs w:val="21"/>
              </w:rPr>
              <w:t>0</w:t>
            </w:r>
          </w:p>
        </w:tc>
        <w:tc>
          <w:tcPr>
            <w:tcW w:w="54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ascii="仿宋_GB2312" w:hAnsi="宋体" w:eastAsia="仿宋_GB2312" w:cs="宋体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kern w:val="0"/>
                <w:szCs w:val="21"/>
              </w:rPr>
              <w:t>0</w:t>
            </w:r>
          </w:p>
        </w:tc>
        <w:tc>
          <w:tcPr>
            <w:tcW w:w="69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ascii="仿宋_GB2312" w:hAnsi="宋体" w:eastAsia="仿宋_GB2312" w:cs="宋体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kern w:val="0"/>
                <w:szCs w:val="21"/>
              </w:rPr>
              <w:t>0</w:t>
            </w:r>
          </w:p>
        </w:tc>
        <w:tc>
          <w:tcPr>
            <w:tcW w:w="70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ascii="仿宋_GB2312" w:hAnsi="宋体" w:eastAsia="仿宋_GB2312" w:cs="宋体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kern w:val="0"/>
                <w:szCs w:val="21"/>
              </w:rPr>
              <w:t>0</w:t>
            </w:r>
          </w:p>
        </w:tc>
        <w:tc>
          <w:tcPr>
            <w:tcW w:w="55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ascii="仿宋_GB2312" w:hAnsi="宋体" w:eastAsia="仿宋_GB2312" w:cs="宋体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kern w:val="0"/>
                <w:szCs w:val="21"/>
              </w:rPr>
              <w:t>0</w:t>
            </w:r>
          </w:p>
        </w:tc>
        <w:tc>
          <w:tcPr>
            <w:tcW w:w="57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ascii="仿宋_GB2312" w:hAnsi="宋体" w:eastAsia="仿宋_GB2312" w:cs="宋体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kern w:val="0"/>
                <w:szCs w:val="21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7" w:hRule="atLeast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4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2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40" w:lineRule="exact"/>
              <w:ind w:left="-107" w:leftChars="-51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（四）无法提供</w:t>
            </w:r>
          </w:p>
        </w:tc>
        <w:tc>
          <w:tcPr>
            <w:tcW w:w="297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4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1.本机关不掌握相关政府信息</w:t>
            </w:r>
          </w:p>
        </w:tc>
        <w:tc>
          <w:tcPr>
            <w:tcW w:w="65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ascii="仿宋_GB2312" w:hAnsi="宋体" w:eastAsia="仿宋_GB2312" w:cs="宋体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kern w:val="0"/>
                <w:szCs w:val="21"/>
              </w:rPr>
              <w:t>2</w:t>
            </w:r>
          </w:p>
        </w:tc>
        <w:tc>
          <w:tcPr>
            <w:tcW w:w="57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ascii="仿宋_GB2312" w:hAnsi="宋体" w:eastAsia="仿宋_GB2312" w:cs="宋体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kern w:val="0"/>
                <w:szCs w:val="21"/>
              </w:rPr>
              <w:t>0</w:t>
            </w:r>
          </w:p>
        </w:tc>
        <w:tc>
          <w:tcPr>
            <w:tcW w:w="54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ascii="仿宋_GB2312" w:hAnsi="宋体" w:eastAsia="仿宋_GB2312" w:cs="宋体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kern w:val="0"/>
                <w:szCs w:val="21"/>
              </w:rPr>
              <w:t>0</w:t>
            </w:r>
          </w:p>
        </w:tc>
        <w:tc>
          <w:tcPr>
            <w:tcW w:w="69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ascii="仿宋_GB2312" w:hAnsi="宋体" w:eastAsia="仿宋_GB2312" w:cs="宋体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kern w:val="0"/>
                <w:szCs w:val="21"/>
              </w:rPr>
              <w:t>0</w:t>
            </w:r>
          </w:p>
        </w:tc>
        <w:tc>
          <w:tcPr>
            <w:tcW w:w="70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ascii="仿宋_GB2312" w:hAnsi="宋体" w:eastAsia="仿宋_GB2312" w:cs="宋体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kern w:val="0"/>
                <w:szCs w:val="21"/>
              </w:rPr>
              <w:t>0</w:t>
            </w:r>
          </w:p>
        </w:tc>
        <w:tc>
          <w:tcPr>
            <w:tcW w:w="55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ascii="仿宋_GB2312" w:hAnsi="宋体" w:eastAsia="仿宋_GB2312" w:cs="宋体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kern w:val="0"/>
                <w:szCs w:val="21"/>
              </w:rPr>
              <w:t>0</w:t>
            </w:r>
          </w:p>
        </w:tc>
        <w:tc>
          <w:tcPr>
            <w:tcW w:w="57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ascii="仿宋_GB2312" w:hAnsi="宋体" w:eastAsia="仿宋_GB2312" w:cs="宋体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kern w:val="0"/>
                <w:szCs w:val="21"/>
              </w:rPr>
              <w:t>2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7" w:hRule="atLeast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4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2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40" w:lineRule="exact"/>
              <w:ind w:left="-107" w:leftChars="-51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4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2.</w:t>
            </w:r>
            <w:bookmarkStart w:id="7" w:name="_Hlk66975392"/>
            <w:r>
              <w:rPr>
                <w:rFonts w:hint="eastAsia" w:ascii="仿宋_GB2312" w:hAnsi="黑体" w:eastAsia="仿宋_GB2312"/>
                <w:kern w:val="0"/>
                <w:szCs w:val="21"/>
              </w:rPr>
              <w:t>没有现成信息需要另行制作</w:t>
            </w:r>
            <w:bookmarkEnd w:id="7"/>
          </w:p>
        </w:tc>
        <w:tc>
          <w:tcPr>
            <w:tcW w:w="65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ascii="仿宋_GB2312" w:hAnsi="宋体" w:eastAsia="仿宋_GB2312" w:cs="宋体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kern w:val="0"/>
                <w:szCs w:val="21"/>
              </w:rPr>
              <w:t>0</w:t>
            </w:r>
          </w:p>
        </w:tc>
        <w:tc>
          <w:tcPr>
            <w:tcW w:w="57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ascii="仿宋_GB2312" w:hAnsi="宋体" w:eastAsia="仿宋_GB2312" w:cs="宋体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kern w:val="0"/>
                <w:szCs w:val="21"/>
              </w:rPr>
              <w:t>0</w:t>
            </w:r>
          </w:p>
        </w:tc>
        <w:tc>
          <w:tcPr>
            <w:tcW w:w="54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ascii="仿宋_GB2312" w:hAnsi="宋体" w:eastAsia="仿宋_GB2312" w:cs="宋体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kern w:val="0"/>
                <w:szCs w:val="21"/>
              </w:rPr>
              <w:t>0</w:t>
            </w:r>
          </w:p>
        </w:tc>
        <w:tc>
          <w:tcPr>
            <w:tcW w:w="69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ascii="仿宋_GB2312" w:hAnsi="宋体" w:eastAsia="仿宋_GB2312" w:cs="宋体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kern w:val="0"/>
                <w:szCs w:val="21"/>
              </w:rPr>
              <w:t>0</w:t>
            </w:r>
          </w:p>
        </w:tc>
        <w:tc>
          <w:tcPr>
            <w:tcW w:w="70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ascii="仿宋_GB2312" w:hAnsi="宋体" w:eastAsia="仿宋_GB2312" w:cs="宋体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kern w:val="0"/>
                <w:szCs w:val="21"/>
              </w:rPr>
              <w:t>0</w:t>
            </w:r>
          </w:p>
        </w:tc>
        <w:tc>
          <w:tcPr>
            <w:tcW w:w="55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ascii="仿宋_GB2312" w:hAnsi="宋体" w:eastAsia="仿宋_GB2312" w:cs="宋体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kern w:val="0"/>
                <w:szCs w:val="21"/>
              </w:rPr>
              <w:t>0</w:t>
            </w:r>
          </w:p>
        </w:tc>
        <w:tc>
          <w:tcPr>
            <w:tcW w:w="57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ascii="仿宋_GB2312" w:hAnsi="宋体" w:eastAsia="仿宋_GB2312" w:cs="宋体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kern w:val="0"/>
                <w:szCs w:val="21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7" w:hRule="atLeast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4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2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40" w:lineRule="exact"/>
              <w:ind w:left="-107" w:leftChars="-51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4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3.</w:t>
            </w:r>
            <w:bookmarkStart w:id="8" w:name="_Hlk66975466"/>
            <w:r>
              <w:rPr>
                <w:rFonts w:hint="eastAsia" w:ascii="仿宋_GB2312" w:hAnsi="黑体" w:eastAsia="仿宋_GB2312"/>
                <w:kern w:val="0"/>
                <w:szCs w:val="21"/>
              </w:rPr>
              <w:t>补正后申请内容仍不明确</w:t>
            </w:r>
            <w:bookmarkEnd w:id="8"/>
          </w:p>
        </w:tc>
        <w:tc>
          <w:tcPr>
            <w:tcW w:w="65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ascii="仿宋_GB2312" w:hAnsi="宋体" w:eastAsia="仿宋_GB2312" w:cs="宋体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kern w:val="0"/>
                <w:szCs w:val="21"/>
              </w:rPr>
              <w:t>0</w:t>
            </w:r>
          </w:p>
        </w:tc>
        <w:tc>
          <w:tcPr>
            <w:tcW w:w="57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ascii="仿宋_GB2312" w:hAnsi="宋体" w:eastAsia="仿宋_GB2312" w:cs="宋体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kern w:val="0"/>
                <w:szCs w:val="21"/>
              </w:rPr>
              <w:t>0</w:t>
            </w:r>
          </w:p>
        </w:tc>
        <w:tc>
          <w:tcPr>
            <w:tcW w:w="54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ascii="仿宋_GB2312" w:hAnsi="宋体" w:eastAsia="仿宋_GB2312" w:cs="宋体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kern w:val="0"/>
                <w:szCs w:val="21"/>
              </w:rPr>
              <w:t>0</w:t>
            </w:r>
          </w:p>
        </w:tc>
        <w:tc>
          <w:tcPr>
            <w:tcW w:w="69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ascii="仿宋_GB2312" w:hAnsi="宋体" w:eastAsia="仿宋_GB2312" w:cs="宋体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kern w:val="0"/>
                <w:szCs w:val="21"/>
              </w:rPr>
              <w:t>0</w:t>
            </w:r>
          </w:p>
        </w:tc>
        <w:tc>
          <w:tcPr>
            <w:tcW w:w="70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ascii="仿宋_GB2312" w:hAnsi="宋体" w:eastAsia="仿宋_GB2312" w:cs="宋体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kern w:val="0"/>
                <w:szCs w:val="21"/>
              </w:rPr>
              <w:t>0</w:t>
            </w:r>
          </w:p>
        </w:tc>
        <w:tc>
          <w:tcPr>
            <w:tcW w:w="55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ascii="仿宋_GB2312" w:hAnsi="宋体" w:eastAsia="仿宋_GB2312" w:cs="宋体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kern w:val="0"/>
                <w:szCs w:val="21"/>
              </w:rPr>
              <w:t>0</w:t>
            </w:r>
          </w:p>
        </w:tc>
        <w:tc>
          <w:tcPr>
            <w:tcW w:w="57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ascii="仿宋_GB2312" w:hAnsi="宋体" w:eastAsia="仿宋_GB2312" w:cs="宋体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kern w:val="0"/>
                <w:szCs w:val="21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7" w:hRule="atLeast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4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2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40" w:lineRule="exact"/>
              <w:ind w:left="-107" w:leftChars="-51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（五）不予处理</w:t>
            </w:r>
          </w:p>
        </w:tc>
        <w:tc>
          <w:tcPr>
            <w:tcW w:w="297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4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1.</w:t>
            </w:r>
            <w:bookmarkStart w:id="9" w:name="_Hlk66975537"/>
            <w:r>
              <w:rPr>
                <w:rFonts w:hint="eastAsia" w:ascii="仿宋_GB2312" w:hAnsi="黑体" w:eastAsia="仿宋_GB2312"/>
                <w:kern w:val="0"/>
                <w:szCs w:val="21"/>
              </w:rPr>
              <w:t>信访举报投诉类申请</w:t>
            </w:r>
            <w:bookmarkEnd w:id="9"/>
          </w:p>
        </w:tc>
        <w:tc>
          <w:tcPr>
            <w:tcW w:w="65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ascii="仿宋_GB2312" w:hAnsi="宋体" w:eastAsia="仿宋_GB2312" w:cs="宋体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kern w:val="0"/>
                <w:szCs w:val="21"/>
              </w:rPr>
              <w:t>0</w:t>
            </w:r>
          </w:p>
        </w:tc>
        <w:tc>
          <w:tcPr>
            <w:tcW w:w="57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ascii="仿宋_GB2312" w:hAnsi="宋体" w:eastAsia="仿宋_GB2312" w:cs="宋体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kern w:val="0"/>
                <w:szCs w:val="21"/>
              </w:rPr>
              <w:t>0</w:t>
            </w:r>
          </w:p>
        </w:tc>
        <w:tc>
          <w:tcPr>
            <w:tcW w:w="54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ascii="仿宋_GB2312" w:hAnsi="宋体" w:eastAsia="仿宋_GB2312" w:cs="宋体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kern w:val="0"/>
                <w:szCs w:val="21"/>
              </w:rPr>
              <w:t>0</w:t>
            </w:r>
          </w:p>
        </w:tc>
        <w:tc>
          <w:tcPr>
            <w:tcW w:w="69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ascii="仿宋_GB2312" w:hAnsi="宋体" w:eastAsia="仿宋_GB2312" w:cs="宋体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kern w:val="0"/>
                <w:szCs w:val="21"/>
              </w:rPr>
              <w:t>0</w:t>
            </w:r>
          </w:p>
        </w:tc>
        <w:tc>
          <w:tcPr>
            <w:tcW w:w="70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ascii="仿宋_GB2312" w:hAnsi="宋体" w:eastAsia="仿宋_GB2312" w:cs="宋体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kern w:val="0"/>
                <w:szCs w:val="21"/>
              </w:rPr>
              <w:t>0</w:t>
            </w:r>
          </w:p>
        </w:tc>
        <w:tc>
          <w:tcPr>
            <w:tcW w:w="55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ascii="仿宋_GB2312" w:hAnsi="宋体" w:eastAsia="仿宋_GB2312" w:cs="宋体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kern w:val="0"/>
                <w:szCs w:val="21"/>
              </w:rPr>
              <w:t>0</w:t>
            </w:r>
          </w:p>
        </w:tc>
        <w:tc>
          <w:tcPr>
            <w:tcW w:w="57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ascii="仿宋_GB2312" w:hAnsi="宋体" w:eastAsia="仿宋_GB2312" w:cs="宋体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kern w:val="0"/>
                <w:szCs w:val="21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7" w:hRule="atLeast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4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2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4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4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2.重复申请</w:t>
            </w:r>
          </w:p>
        </w:tc>
        <w:tc>
          <w:tcPr>
            <w:tcW w:w="65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ascii="仿宋_GB2312" w:hAnsi="宋体" w:eastAsia="仿宋_GB2312" w:cs="宋体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kern w:val="0"/>
                <w:szCs w:val="21"/>
              </w:rPr>
              <w:t>0</w:t>
            </w:r>
          </w:p>
        </w:tc>
        <w:tc>
          <w:tcPr>
            <w:tcW w:w="57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ascii="仿宋_GB2312" w:hAnsi="宋体" w:eastAsia="仿宋_GB2312" w:cs="宋体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kern w:val="0"/>
                <w:szCs w:val="21"/>
              </w:rPr>
              <w:t>0</w:t>
            </w:r>
          </w:p>
        </w:tc>
        <w:tc>
          <w:tcPr>
            <w:tcW w:w="54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ascii="仿宋_GB2312" w:hAnsi="宋体" w:eastAsia="仿宋_GB2312" w:cs="宋体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kern w:val="0"/>
                <w:szCs w:val="21"/>
              </w:rPr>
              <w:t>0</w:t>
            </w:r>
          </w:p>
        </w:tc>
        <w:tc>
          <w:tcPr>
            <w:tcW w:w="69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ascii="仿宋_GB2312" w:hAnsi="宋体" w:eastAsia="仿宋_GB2312" w:cs="宋体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kern w:val="0"/>
                <w:szCs w:val="21"/>
              </w:rPr>
              <w:t>0</w:t>
            </w:r>
          </w:p>
        </w:tc>
        <w:tc>
          <w:tcPr>
            <w:tcW w:w="70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ascii="仿宋_GB2312" w:hAnsi="宋体" w:eastAsia="仿宋_GB2312" w:cs="宋体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kern w:val="0"/>
                <w:szCs w:val="21"/>
              </w:rPr>
              <w:t>0</w:t>
            </w:r>
          </w:p>
        </w:tc>
        <w:tc>
          <w:tcPr>
            <w:tcW w:w="55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ascii="仿宋_GB2312" w:hAnsi="宋体" w:eastAsia="仿宋_GB2312" w:cs="宋体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kern w:val="0"/>
                <w:szCs w:val="21"/>
              </w:rPr>
              <w:t>0</w:t>
            </w:r>
          </w:p>
        </w:tc>
        <w:tc>
          <w:tcPr>
            <w:tcW w:w="57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ascii="仿宋_GB2312" w:hAnsi="宋体" w:eastAsia="仿宋_GB2312" w:cs="宋体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kern w:val="0"/>
                <w:szCs w:val="21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7" w:hRule="atLeast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4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2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4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40" w:lineRule="exact"/>
              <w:rPr>
                <w:rFonts w:ascii="仿宋_GB2312" w:hAnsi="黑体" w:eastAsia="仿宋_GB2312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3.要求提供公开出版物</w:t>
            </w:r>
          </w:p>
        </w:tc>
        <w:tc>
          <w:tcPr>
            <w:tcW w:w="65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ascii="仿宋_GB2312" w:hAnsi="宋体" w:eastAsia="仿宋_GB2312" w:cs="宋体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kern w:val="0"/>
                <w:szCs w:val="21"/>
              </w:rPr>
              <w:t>0</w:t>
            </w:r>
          </w:p>
        </w:tc>
        <w:tc>
          <w:tcPr>
            <w:tcW w:w="57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ascii="仿宋_GB2312" w:hAnsi="宋体" w:eastAsia="仿宋_GB2312" w:cs="宋体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kern w:val="0"/>
                <w:szCs w:val="21"/>
              </w:rPr>
              <w:t>0</w:t>
            </w:r>
          </w:p>
        </w:tc>
        <w:tc>
          <w:tcPr>
            <w:tcW w:w="54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ascii="仿宋_GB2312" w:hAnsi="宋体" w:eastAsia="仿宋_GB2312" w:cs="宋体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kern w:val="0"/>
                <w:szCs w:val="21"/>
              </w:rPr>
              <w:t>0</w:t>
            </w:r>
          </w:p>
        </w:tc>
        <w:tc>
          <w:tcPr>
            <w:tcW w:w="69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ascii="仿宋_GB2312" w:hAnsi="宋体" w:eastAsia="仿宋_GB2312" w:cs="宋体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kern w:val="0"/>
                <w:szCs w:val="21"/>
              </w:rPr>
              <w:t>0</w:t>
            </w:r>
          </w:p>
        </w:tc>
        <w:tc>
          <w:tcPr>
            <w:tcW w:w="70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ascii="仿宋_GB2312" w:hAnsi="宋体" w:eastAsia="仿宋_GB2312" w:cs="宋体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kern w:val="0"/>
                <w:szCs w:val="21"/>
              </w:rPr>
              <w:t>0</w:t>
            </w:r>
          </w:p>
        </w:tc>
        <w:tc>
          <w:tcPr>
            <w:tcW w:w="55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ascii="仿宋_GB2312" w:hAnsi="宋体" w:eastAsia="仿宋_GB2312" w:cs="宋体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kern w:val="0"/>
                <w:szCs w:val="21"/>
              </w:rPr>
              <w:t>0</w:t>
            </w:r>
          </w:p>
        </w:tc>
        <w:tc>
          <w:tcPr>
            <w:tcW w:w="57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ascii="仿宋_GB2312" w:hAnsi="宋体" w:eastAsia="仿宋_GB2312" w:cs="宋体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kern w:val="0"/>
                <w:szCs w:val="21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7" w:hRule="atLeast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4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2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4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40" w:lineRule="exact"/>
              <w:rPr>
                <w:rFonts w:ascii="仿宋_GB2312" w:hAnsi="黑体" w:eastAsia="仿宋_GB2312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4.无正当理由大量反复申请</w:t>
            </w:r>
          </w:p>
        </w:tc>
        <w:tc>
          <w:tcPr>
            <w:tcW w:w="65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ascii="仿宋_GB2312" w:hAnsi="宋体" w:eastAsia="仿宋_GB2312" w:cs="宋体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kern w:val="0"/>
                <w:szCs w:val="21"/>
              </w:rPr>
              <w:t>0</w:t>
            </w:r>
          </w:p>
        </w:tc>
        <w:tc>
          <w:tcPr>
            <w:tcW w:w="57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ascii="仿宋_GB2312" w:hAnsi="宋体" w:eastAsia="仿宋_GB2312" w:cs="宋体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kern w:val="0"/>
                <w:szCs w:val="21"/>
              </w:rPr>
              <w:t>0</w:t>
            </w:r>
          </w:p>
        </w:tc>
        <w:tc>
          <w:tcPr>
            <w:tcW w:w="54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ascii="仿宋_GB2312" w:hAnsi="宋体" w:eastAsia="仿宋_GB2312" w:cs="宋体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kern w:val="0"/>
                <w:szCs w:val="21"/>
              </w:rPr>
              <w:t>0</w:t>
            </w:r>
          </w:p>
        </w:tc>
        <w:tc>
          <w:tcPr>
            <w:tcW w:w="69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ascii="仿宋_GB2312" w:hAnsi="宋体" w:eastAsia="仿宋_GB2312" w:cs="宋体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kern w:val="0"/>
                <w:szCs w:val="21"/>
              </w:rPr>
              <w:t>0</w:t>
            </w:r>
          </w:p>
        </w:tc>
        <w:tc>
          <w:tcPr>
            <w:tcW w:w="70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ascii="仿宋_GB2312" w:hAnsi="宋体" w:eastAsia="仿宋_GB2312" w:cs="宋体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kern w:val="0"/>
                <w:szCs w:val="21"/>
              </w:rPr>
              <w:t>0</w:t>
            </w:r>
          </w:p>
        </w:tc>
        <w:tc>
          <w:tcPr>
            <w:tcW w:w="55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ascii="仿宋_GB2312" w:hAnsi="宋体" w:eastAsia="仿宋_GB2312" w:cs="宋体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kern w:val="0"/>
                <w:szCs w:val="21"/>
              </w:rPr>
              <w:t>0</w:t>
            </w:r>
          </w:p>
        </w:tc>
        <w:tc>
          <w:tcPr>
            <w:tcW w:w="57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ascii="仿宋_GB2312" w:hAnsi="宋体" w:eastAsia="仿宋_GB2312" w:cs="宋体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kern w:val="0"/>
                <w:szCs w:val="21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9" w:hRule="atLeast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4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2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4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4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5.要求行政机关确认或重新</w:t>
            </w:r>
          </w:p>
          <w:p>
            <w:pPr>
              <w:spacing w:line="240" w:lineRule="exact"/>
              <w:ind w:firstLine="210" w:firstLineChars="100"/>
              <w:rPr>
                <w:rFonts w:ascii="仿宋_GB2312" w:hAnsi="黑体" w:eastAsia="仿宋_GB2312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出具已获取信息</w:t>
            </w:r>
          </w:p>
        </w:tc>
        <w:tc>
          <w:tcPr>
            <w:tcW w:w="65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ascii="仿宋_GB2312" w:hAnsi="宋体" w:eastAsia="仿宋_GB2312" w:cs="宋体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kern w:val="0"/>
                <w:szCs w:val="21"/>
              </w:rPr>
              <w:t>0</w:t>
            </w:r>
          </w:p>
        </w:tc>
        <w:tc>
          <w:tcPr>
            <w:tcW w:w="57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ascii="仿宋_GB2312" w:hAnsi="宋体" w:eastAsia="仿宋_GB2312" w:cs="宋体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kern w:val="0"/>
                <w:szCs w:val="21"/>
              </w:rPr>
              <w:t>0</w:t>
            </w:r>
          </w:p>
        </w:tc>
        <w:tc>
          <w:tcPr>
            <w:tcW w:w="54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ascii="仿宋_GB2312" w:hAnsi="宋体" w:eastAsia="仿宋_GB2312" w:cs="宋体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kern w:val="0"/>
                <w:szCs w:val="21"/>
              </w:rPr>
              <w:t>0</w:t>
            </w:r>
          </w:p>
        </w:tc>
        <w:tc>
          <w:tcPr>
            <w:tcW w:w="69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ascii="仿宋_GB2312" w:hAnsi="宋体" w:eastAsia="仿宋_GB2312" w:cs="宋体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kern w:val="0"/>
                <w:szCs w:val="21"/>
              </w:rPr>
              <w:t>0</w:t>
            </w:r>
          </w:p>
        </w:tc>
        <w:tc>
          <w:tcPr>
            <w:tcW w:w="70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ascii="仿宋_GB2312" w:hAnsi="宋体" w:eastAsia="仿宋_GB2312" w:cs="宋体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kern w:val="0"/>
                <w:szCs w:val="21"/>
              </w:rPr>
              <w:t>0</w:t>
            </w:r>
          </w:p>
        </w:tc>
        <w:tc>
          <w:tcPr>
            <w:tcW w:w="55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ascii="仿宋_GB2312" w:hAnsi="宋体" w:eastAsia="仿宋_GB2312" w:cs="宋体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kern w:val="0"/>
                <w:szCs w:val="21"/>
              </w:rPr>
              <w:t>0</w:t>
            </w:r>
          </w:p>
        </w:tc>
        <w:tc>
          <w:tcPr>
            <w:tcW w:w="57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ascii="仿宋_GB2312" w:hAnsi="宋体" w:eastAsia="仿宋_GB2312" w:cs="宋体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kern w:val="0"/>
                <w:szCs w:val="21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49" w:hRule="atLeast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4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2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40" w:lineRule="exact"/>
              <w:rPr>
                <w:rFonts w:ascii="黑体" w:hAnsi="黑体" w:eastAsia="黑体"/>
                <w:kern w:val="0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（六）其他处理</w:t>
            </w:r>
          </w:p>
        </w:tc>
        <w:tc>
          <w:tcPr>
            <w:tcW w:w="2979" w:type="dxa"/>
            <w:shd w:val="clear" w:color="auto" w:fill="auto"/>
            <w:vAlign w:val="center"/>
          </w:tcPr>
          <w:p>
            <w:pPr>
              <w:spacing w:line="240" w:lineRule="exact"/>
              <w:rPr>
                <w:rFonts w:ascii="仿宋_GB2312" w:hAnsi="楷体" w:eastAsia="仿宋_GB2312"/>
              </w:rPr>
            </w:pPr>
            <w:r>
              <w:rPr>
                <w:rFonts w:hint="eastAsia" w:ascii="仿宋_GB2312" w:hAnsi="楷体" w:eastAsia="仿宋_GB2312"/>
              </w:rPr>
              <w:t>1.申请人无正当理由逾期不补正、行政机关不再处理其政府信息公开申请</w:t>
            </w:r>
          </w:p>
        </w:tc>
        <w:tc>
          <w:tcPr>
            <w:tcW w:w="65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ascii="仿宋_GB2312" w:hAnsi="宋体" w:eastAsia="仿宋_GB2312" w:cs="宋体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kern w:val="0"/>
                <w:szCs w:val="21"/>
              </w:rPr>
              <w:t>1</w:t>
            </w:r>
          </w:p>
        </w:tc>
        <w:tc>
          <w:tcPr>
            <w:tcW w:w="57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ascii="仿宋_GB2312" w:hAnsi="宋体" w:eastAsia="仿宋_GB2312" w:cs="宋体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kern w:val="0"/>
                <w:szCs w:val="21"/>
              </w:rPr>
              <w:t>0</w:t>
            </w:r>
          </w:p>
        </w:tc>
        <w:tc>
          <w:tcPr>
            <w:tcW w:w="54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ascii="仿宋_GB2312" w:hAnsi="宋体" w:eastAsia="仿宋_GB2312" w:cs="宋体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kern w:val="0"/>
                <w:szCs w:val="21"/>
              </w:rPr>
              <w:t>0</w:t>
            </w:r>
          </w:p>
        </w:tc>
        <w:tc>
          <w:tcPr>
            <w:tcW w:w="69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ascii="仿宋_GB2312" w:hAnsi="宋体" w:eastAsia="仿宋_GB2312" w:cs="宋体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kern w:val="0"/>
                <w:szCs w:val="21"/>
              </w:rPr>
              <w:t>0</w:t>
            </w:r>
          </w:p>
        </w:tc>
        <w:tc>
          <w:tcPr>
            <w:tcW w:w="70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ascii="仿宋_GB2312" w:hAnsi="宋体" w:eastAsia="仿宋_GB2312" w:cs="宋体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kern w:val="0"/>
                <w:szCs w:val="21"/>
              </w:rPr>
              <w:t>0</w:t>
            </w:r>
          </w:p>
        </w:tc>
        <w:tc>
          <w:tcPr>
            <w:tcW w:w="55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ascii="仿宋_GB2312" w:hAnsi="宋体" w:eastAsia="仿宋_GB2312" w:cs="宋体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kern w:val="0"/>
                <w:szCs w:val="21"/>
              </w:rPr>
              <w:t>0</w:t>
            </w:r>
          </w:p>
        </w:tc>
        <w:tc>
          <w:tcPr>
            <w:tcW w:w="57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ascii="仿宋_GB2312" w:hAnsi="宋体" w:eastAsia="仿宋_GB2312" w:cs="宋体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kern w:val="0"/>
                <w:szCs w:val="21"/>
              </w:rPr>
              <w:t>1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49" w:hRule="atLeast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4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2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40" w:lineRule="exact"/>
              <w:rPr>
                <w:rFonts w:ascii="黑体" w:hAnsi="黑体" w:eastAsia="黑体"/>
                <w:kern w:val="0"/>
                <w:szCs w:val="21"/>
              </w:rPr>
            </w:pPr>
          </w:p>
        </w:tc>
        <w:tc>
          <w:tcPr>
            <w:tcW w:w="2979" w:type="dxa"/>
            <w:shd w:val="clear" w:color="auto" w:fill="auto"/>
            <w:vAlign w:val="center"/>
          </w:tcPr>
          <w:p>
            <w:pPr>
              <w:spacing w:line="24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楷体" w:eastAsia="仿宋_GB2312"/>
              </w:rPr>
              <w:t>2.申请人逾期未按收费通知要求缴纳费用、行政机关不再处理其政府信息公开申请</w:t>
            </w:r>
          </w:p>
        </w:tc>
        <w:tc>
          <w:tcPr>
            <w:tcW w:w="65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ascii="仿宋_GB2312" w:hAnsi="宋体" w:eastAsia="仿宋_GB2312" w:cs="宋体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kern w:val="0"/>
                <w:szCs w:val="21"/>
              </w:rPr>
              <w:t>0</w:t>
            </w:r>
          </w:p>
        </w:tc>
        <w:tc>
          <w:tcPr>
            <w:tcW w:w="57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ascii="仿宋_GB2312" w:hAnsi="宋体" w:eastAsia="仿宋_GB2312" w:cs="宋体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kern w:val="0"/>
                <w:szCs w:val="21"/>
              </w:rPr>
              <w:t>0</w:t>
            </w:r>
          </w:p>
        </w:tc>
        <w:tc>
          <w:tcPr>
            <w:tcW w:w="54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ascii="仿宋_GB2312" w:hAnsi="宋体" w:eastAsia="仿宋_GB2312" w:cs="宋体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kern w:val="0"/>
                <w:szCs w:val="21"/>
              </w:rPr>
              <w:t>0</w:t>
            </w:r>
          </w:p>
        </w:tc>
        <w:tc>
          <w:tcPr>
            <w:tcW w:w="69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ascii="仿宋_GB2312" w:hAnsi="宋体" w:eastAsia="仿宋_GB2312" w:cs="宋体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kern w:val="0"/>
                <w:szCs w:val="21"/>
              </w:rPr>
              <w:t>0</w:t>
            </w:r>
          </w:p>
        </w:tc>
        <w:tc>
          <w:tcPr>
            <w:tcW w:w="70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ascii="仿宋_GB2312" w:hAnsi="宋体" w:eastAsia="仿宋_GB2312" w:cs="宋体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kern w:val="0"/>
                <w:szCs w:val="21"/>
              </w:rPr>
              <w:t>0</w:t>
            </w:r>
          </w:p>
        </w:tc>
        <w:tc>
          <w:tcPr>
            <w:tcW w:w="55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ascii="仿宋_GB2312" w:hAnsi="宋体" w:eastAsia="仿宋_GB2312" w:cs="宋体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kern w:val="0"/>
                <w:szCs w:val="21"/>
              </w:rPr>
              <w:t>0</w:t>
            </w:r>
          </w:p>
        </w:tc>
        <w:tc>
          <w:tcPr>
            <w:tcW w:w="57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ascii="仿宋_GB2312" w:hAnsi="宋体" w:eastAsia="仿宋_GB2312" w:cs="宋体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kern w:val="0"/>
                <w:szCs w:val="21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4" w:hRule="atLeast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4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2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40" w:lineRule="exact"/>
              <w:rPr>
                <w:rFonts w:ascii="黑体" w:hAnsi="黑体" w:eastAsia="黑体"/>
                <w:kern w:val="0"/>
                <w:szCs w:val="21"/>
              </w:rPr>
            </w:pPr>
          </w:p>
        </w:tc>
        <w:tc>
          <w:tcPr>
            <w:tcW w:w="2979" w:type="dxa"/>
            <w:shd w:val="clear" w:color="auto" w:fill="auto"/>
            <w:vAlign w:val="center"/>
          </w:tcPr>
          <w:p>
            <w:pPr>
              <w:spacing w:line="24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楷体" w:eastAsia="仿宋_GB2312"/>
              </w:rPr>
              <w:t>3.其他</w:t>
            </w:r>
          </w:p>
        </w:tc>
        <w:tc>
          <w:tcPr>
            <w:tcW w:w="65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ascii="仿宋_GB2312" w:hAnsi="宋体" w:eastAsia="仿宋_GB2312" w:cs="宋体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kern w:val="0"/>
                <w:szCs w:val="21"/>
              </w:rPr>
              <w:t>0</w:t>
            </w:r>
          </w:p>
        </w:tc>
        <w:tc>
          <w:tcPr>
            <w:tcW w:w="57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ascii="仿宋_GB2312" w:hAnsi="宋体" w:eastAsia="仿宋_GB2312" w:cs="宋体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kern w:val="0"/>
                <w:szCs w:val="21"/>
              </w:rPr>
              <w:t>0</w:t>
            </w:r>
          </w:p>
        </w:tc>
        <w:tc>
          <w:tcPr>
            <w:tcW w:w="54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ascii="仿宋_GB2312" w:hAnsi="宋体" w:eastAsia="仿宋_GB2312" w:cs="宋体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kern w:val="0"/>
                <w:szCs w:val="21"/>
              </w:rPr>
              <w:t>0</w:t>
            </w:r>
          </w:p>
        </w:tc>
        <w:tc>
          <w:tcPr>
            <w:tcW w:w="69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ascii="仿宋_GB2312" w:hAnsi="宋体" w:eastAsia="仿宋_GB2312" w:cs="宋体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kern w:val="0"/>
                <w:szCs w:val="21"/>
              </w:rPr>
              <w:t>0</w:t>
            </w:r>
          </w:p>
        </w:tc>
        <w:tc>
          <w:tcPr>
            <w:tcW w:w="70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ascii="仿宋_GB2312" w:hAnsi="宋体" w:eastAsia="仿宋_GB2312" w:cs="宋体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kern w:val="0"/>
                <w:szCs w:val="21"/>
              </w:rPr>
              <w:t>0</w:t>
            </w:r>
          </w:p>
        </w:tc>
        <w:tc>
          <w:tcPr>
            <w:tcW w:w="55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ascii="仿宋_GB2312" w:hAnsi="宋体" w:eastAsia="仿宋_GB2312" w:cs="宋体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kern w:val="0"/>
                <w:szCs w:val="21"/>
              </w:rPr>
              <w:t>0</w:t>
            </w:r>
          </w:p>
        </w:tc>
        <w:tc>
          <w:tcPr>
            <w:tcW w:w="57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ascii="仿宋_GB2312" w:hAnsi="宋体" w:eastAsia="仿宋_GB2312" w:cs="宋体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kern w:val="0"/>
                <w:szCs w:val="21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4" w:hRule="atLeast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4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4681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40" w:lineRule="exact"/>
              <w:rPr>
                <w:rFonts w:ascii="黑体" w:hAnsi="黑体" w:eastAsia="黑体"/>
                <w:kern w:val="0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（七）总计</w:t>
            </w:r>
          </w:p>
        </w:tc>
        <w:tc>
          <w:tcPr>
            <w:tcW w:w="65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ascii="仿宋_GB2312" w:hAnsi="宋体" w:eastAsia="仿宋_GB2312" w:cs="宋体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kern w:val="0"/>
                <w:szCs w:val="21"/>
              </w:rPr>
              <w:t>6</w:t>
            </w:r>
          </w:p>
        </w:tc>
        <w:tc>
          <w:tcPr>
            <w:tcW w:w="57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ascii="仿宋_GB2312" w:hAnsi="宋体" w:eastAsia="仿宋_GB2312" w:cs="宋体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kern w:val="0"/>
                <w:szCs w:val="21"/>
              </w:rPr>
              <w:t>0</w:t>
            </w:r>
          </w:p>
        </w:tc>
        <w:tc>
          <w:tcPr>
            <w:tcW w:w="54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ascii="仿宋_GB2312" w:hAnsi="宋体" w:eastAsia="仿宋_GB2312" w:cs="宋体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kern w:val="0"/>
                <w:szCs w:val="21"/>
              </w:rPr>
              <w:t>0</w:t>
            </w:r>
          </w:p>
        </w:tc>
        <w:tc>
          <w:tcPr>
            <w:tcW w:w="69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ascii="仿宋_GB2312" w:hAnsi="宋体" w:eastAsia="仿宋_GB2312" w:cs="宋体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kern w:val="0"/>
                <w:szCs w:val="21"/>
              </w:rPr>
              <w:t>0</w:t>
            </w:r>
          </w:p>
        </w:tc>
        <w:tc>
          <w:tcPr>
            <w:tcW w:w="70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ascii="仿宋_GB2312" w:hAnsi="宋体" w:eastAsia="仿宋_GB2312" w:cs="宋体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kern w:val="0"/>
                <w:szCs w:val="21"/>
              </w:rPr>
              <w:t>0</w:t>
            </w:r>
          </w:p>
        </w:tc>
        <w:tc>
          <w:tcPr>
            <w:tcW w:w="55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ascii="仿宋_GB2312" w:hAnsi="宋体" w:eastAsia="仿宋_GB2312" w:cs="宋体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kern w:val="0"/>
                <w:szCs w:val="21"/>
              </w:rPr>
              <w:t>0</w:t>
            </w:r>
          </w:p>
        </w:tc>
        <w:tc>
          <w:tcPr>
            <w:tcW w:w="57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ascii="仿宋_GB2312" w:hAnsi="宋体" w:eastAsia="仿宋_GB2312" w:cs="宋体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kern w:val="0"/>
                <w:szCs w:val="21"/>
              </w:rPr>
              <w:t>6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4" w:hRule="atLeast"/>
        </w:trPr>
        <w:tc>
          <w:tcPr>
            <w:tcW w:w="5097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40" w:lineRule="exact"/>
              <w:rPr>
                <w:rFonts w:ascii="黑体" w:hAnsi="黑体" w:eastAsia="黑体"/>
                <w:kern w:val="0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四、结转下年度继续办理</w:t>
            </w:r>
          </w:p>
        </w:tc>
        <w:tc>
          <w:tcPr>
            <w:tcW w:w="65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ascii="仿宋_GB2312" w:hAnsi="宋体" w:eastAsia="仿宋_GB2312" w:cs="宋体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kern w:val="0"/>
                <w:szCs w:val="21"/>
              </w:rPr>
              <w:t>0</w:t>
            </w:r>
          </w:p>
        </w:tc>
        <w:tc>
          <w:tcPr>
            <w:tcW w:w="57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ascii="仿宋_GB2312" w:hAnsi="宋体" w:eastAsia="仿宋_GB2312" w:cs="宋体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kern w:val="0"/>
                <w:szCs w:val="21"/>
              </w:rPr>
              <w:t>0</w:t>
            </w:r>
          </w:p>
        </w:tc>
        <w:tc>
          <w:tcPr>
            <w:tcW w:w="54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ascii="仿宋_GB2312" w:hAnsi="宋体" w:eastAsia="仿宋_GB2312" w:cs="宋体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kern w:val="0"/>
                <w:szCs w:val="21"/>
              </w:rPr>
              <w:t>0</w:t>
            </w:r>
          </w:p>
        </w:tc>
        <w:tc>
          <w:tcPr>
            <w:tcW w:w="69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ascii="仿宋_GB2312" w:hAnsi="宋体" w:eastAsia="仿宋_GB2312" w:cs="宋体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kern w:val="0"/>
                <w:szCs w:val="21"/>
              </w:rPr>
              <w:t>0</w:t>
            </w:r>
          </w:p>
        </w:tc>
        <w:tc>
          <w:tcPr>
            <w:tcW w:w="70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ascii="仿宋_GB2312" w:hAnsi="宋体" w:eastAsia="仿宋_GB2312" w:cs="宋体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kern w:val="0"/>
                <w:szCs w:val="21"/>
              </w:rPr>
              <w:t>0</w:t>
            </w:r>
          </w:p>
        </w:tc>
        <w:tc>
          <w:tcPr>
            <w:tcW w:w="55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ascii="仿宋_GB2312" w:hAnsi="宋体" w:eastAsia="仿宋_GB2312" w:cs="宋体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kern w:val="0"/>
                <w:szCs w:val="21"/>
              </w:rPr>
              <w:t>0</w:t>
            </w:r>
          </w:p>
        </w:tc>
        <w:tc>
          <w:tcPr>
            <w:tcW w:w="57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ascii="仿宋_GB2312" w:hAnsi="宋体" w:eastAsia="仿宋_GB2312" w:cs="宋体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kern w:val="0"/>
                <w:szCs w:val="21"/>
              </w:rPr>
              <w:t>0</w:t>
            </w:r>
          </w:p>
        </w:tc>
      </w:tr>
    </w:tbl>
    <w:p>
      <w:pPr>
        <w:ind w:firstLine="640" w:firstLineChars="200"/>
        <w:rPr>
          <w:rFonts w:ascii="仿宋_GB2312" w:eastAsia="仿宋_GB2312"/>
          <w:sz w:val="32"/>
          <w:szCs w:val="32"/>
        </w:rPr>
        <w:sectPr>
          <w:footerReference r:id="rId3" w:type="default"/>
          <w:pgSz w:w="11906" w:h="16838"/>
          <w:pgMar w:top="1440" w:right="1474" w:bottom="1440" w:left="1588" w:header="851" w:footer="992" w:gutter="0"/>
          <w:cols w:space="425" w:num="1"/>
          <w:docGrid w:type="lines" w:linePitch="312" w:charSpace="0"/>
        </w:sectPr>
      </w:pPr>
    </w:p>
    <w:p>
      <w:pPr>
        <w:numPr>
          <w:ilvl w:val="0"/>
          <w:numId w:val="3"/>
        </w:numPr>
        <w:spacing w:line="576" w:lineRule="exact"/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政府信息公开工作被申请行政复议、提起行政诉讼情况</w:t>
      </w:r>
    </w:p>
    <w:p>
      <w:pPr>
        <w:rPr>
          <w:rFonts w:ascii="黑体" w:hAnsi="黑体" w:eastAsia="黑体"/>
          <w:szCs w:val="21"/>
        </w:rPr>
      </w:pPr>
    </w:p>
    <w:tbl>
      <w:tblPr>
        <w:tblStyle w:val="16"/>
        <w:tblW w:w="9071" w:type="dxa"/>
        <w:jc w:val="center"/>
        <w:tblInd w:w="0" w:type="dxa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04"/>
        <w:gridCol w:w="604"/>
        <w:gridCol w:w="604"/>
        <w:gridCol w:w="604"/>
        <w:gridCol w:w="658"/>
        <w:gridCol w:w="550"/>
        <w:gridCol w:w="605"/>
        <w:gridCol w:w="605"/>
        <w:gridCol w:w="605"/>
        <w:gridCol w:w="605"/>
        <w:gridCol w:w="605"/>
        <w:gridCol w:w="605"/>
        <w:gridCol w:w="605"/>
        <w:gridCol w:w="606"/>
        <w:gridCol w:w="606"/>
      </w:tblGrid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7" w:hRule="atLeast"/>
          <w:jc w:val="center"/>
        </w:trPr>
        <w:tc>
          <w:tcPr>
            <w:tcW w:w="3074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ascii="黑体" w:hAnsi="黑体" w:eastAsia="黑体"/>
              </w:rPr>
            </w:pPr>
            <w:bookmarkStart w:id="11" w:name="_GoBack"/>
            <w:r>
              <w:rPr>
                <w:rFonts w:ascii="黑体" w:hAnsi="黑体" w:eastAsia="黑体"/>
                <w:kern w:val="0"/>
                <w:sz w:val="20"/>
                <w:szCs w:val="20"/>
              </w:rPr>
              <w:t>行政复议</w:t>
            </w:r>
          </w:p>
        </w:tc>
        <w:tc>
          <w:tcPr>
            <w:tcW w:w="5997" w:type="dxa"/>
            <w:gridSpan w:val="10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行政诉讼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7" w:hRule="atLeast"/>
          <w:jc w:val="center"/>
        </w:trPr>
        <w:tc>
          <w:tcPr>
            <w:tcW w:w="604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ind w:left="-149" w:leftChars="-71" w:right="-170" w:rightChars="-81"/>
              <w:jc w:val="center"/>
              <w:rPr>
                <w:rFonts w:ascii="黑体" w:hAnsi="黑体" w:eastAsia="黑体"/>
                <w:kern w:val="0"/>
                <w:sz w:val="20"/>
                <w:szCs w:val="20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结果</w:t>
            </w:r>
          </w:p>
          <w:p>
            <w:pPr>
              <w:ind w:left="-149" w:leftChars="-71" w:right="-170" w:rightChars="-81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维持</w:t>
            </w:r>
          </w:p>
        </w:tc>
        <w:tc>
          <w:tcPr>
            <w:tcW w:w="604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ind w:left="-43" w:leftChars="-21" w:right="-132" w:rightChars="-63" w:hanging="1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结果纠正</w:t>
            </w:r>
          </w:p>
        </w:tc>
        <w:tc>
          <w:tcPr>
            <w:tcW w:w="604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ind w:left="-82" w:leftChars="-39" w:right="-97" w:rightChars="-46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其他结果</w:t>
            </w:r>
          </w:p>
        </w:tc>
        <w:tc>
          <w:tcPr>
            <w:tcW w:w="604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ind w:left="-118" w:leftChars="-56" w:right="-118" w:rightChars="-56"/>
              <w:jc w:val="center"/>
              <w:rPr>
                <w:rFonts w:ascii="黑体" w:hAnsi="黑体" w:eastAsia="黑体"/>
                <w:kern w:val="0"/>
                <w:sz w:val="20"/>
                <w:szCs w:val="20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尚未</w:t>
            </w:r>
          </w:p>
          <w:p>
            <w:pPr>
              <w:ind w:left="-118" w:leftChars="-56" w:right="-118" w:rightChars="-56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审结</w:t>
            </w:r>
          </w:p>
        </w:tc>
        <w:tc>
          <w:tcPr>
            <w:tcW w:w="658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ascii="黑体" w:hAnsi="黑体" w:eastAsia="黑体"/>
                <w:kern w:val="0"/>
                <w:sz w:val="20"/>
                <w:szCs w:val="20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总</w:t>
            </w:r>
          </w:p>
          <w:p>
            <w:pPr>
              <w:spacing w:line="320" w:lineRule="exact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计</w:t>
            </w:r>
          </w:p>
        </w:tc>
        <w:tc>
          <w:tcPr>
            <w:tcW w:w="2970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未经复议直接起诉</w:t>
            </w:r>
          </w:p>
        </w:tc>
        <w:tc>
          <w:tcPr>
            <w:tcW w:w="3027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ascii="黑体" w:hAnsi="黑体" w:eastAsia="黑体"/>
              </w:rPr>
            </w:pPr>
            <w:bookmarkStart w:id="10" w:name="_Hlk67039688"/>
            <w:r>
              <w:rPr>
                <w:rFonts w:ascii="黑体" w:hAnsi="黑体" w:eastAsia="黑体"/>
                <w:kern w:val="0"/>
                <w:sz w:val="20"/>
                <w:szCs w:val="20"/>
              </w:rPr>
              <w:t>复议后起诉</w:t>
            </w:r>
            <w:bookmarkEnd w:id="10"/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6" w:hRule="atLeast"/>
          <w:jc w:val="center"/>
        </w:trPr>
        <w:tc>
          <w:tcPr>
            <w:tcW w:w="604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 w:val="24"/>
              </w:rPr>
            </w:pPr>
          </w:p>
        </w:tc>
        <w:tc>
          <w:tcPr>
            <w:tcW w:w="60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 w:val="24"/>
              </w:rPr>
            </w:pPr>
          </w:p>
        </w:tc>
        <w:tc>
          <w:tcPr>
            <w:tcW w:w="604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 w:val="24"/>
              </w:rPr>
            </w:pPr>
          </w:p>
        </w:tc>
        <w:tc>
          <w:tcPr>
            <w:tcW w:w="604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 w:val="24"/>
              </w:rPr>
            </w:pPr>
          </w:p>
        </w:tc>
        <w:tc>
          <w:tcPr>
            <w:tcW w:w="658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 w:val="24"/>
              </w:rPr>
            </w:pPr>
          </w:p>
        </w:tc>
        <w:tc>
          <w:tcPr>
            <w:tcW w:w="55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ind w:left="-105" w:leftChars="-50" w:right="-126" w:rightChars="-60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结果维持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ind w:left="-86" w:leftChars="-41" w:right="-88" w:rightChars="-42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结果纠正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ind w:left="-126" w:leftChars="-60" w:right="-136" w:rightChars="-65"/>
              <w:jc w:val="center"/>
              <w:rPr>
                <w:rFonts w:ascii="黑体" w:hAnsi="黑体" w:eastAsia="黑体"/>
                <w:kern w:val="0"/>
                <w:sz w:val="20"/>
                <w:szCs w:val="20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其他</w:t>
            </w:r>
          </w:p>
          <w:p>
            <w:pPr>
              <w:ind w:left="-126" w:leftChars="-60" w:right="-136" w:rightChars="-65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结果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ind w:left="-164" w:leftChars="-78" w:right="-153" w:rightChars="-73"/>
              <w:jc w:val="center"/>
              <w:rPr>
                <w:rFonts w:ascii="黑体" w:hAnsi="黑体" w:eastAsia="黑体"/>
                <w:kern w:val="0"/>
                <w:sz w:val="20"/>
                <w:szCs w:val="20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尚未</w:t>
            </w:r>
          </w:p>
          <w:p>
            <w:pPr>
              <w:ind w:left="-164" w:leftChars="-78" w:right="-153" w:rightChars="-73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审结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总计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ind w:left="-99" w:leftChars="-47" w:right="-78" w:rightChars="-37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结果维持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ind w:left="-136" w:leftChars="-65" w:right="-124" w:rightChars="-59"/>
              <w:jc w:val="center"/>
              <w:rPr>
                <w:rFonts w:ascii="黑体" w:hAnsi="黑体" w:eastAsia="黑体"/>
                <w:kern w:val="0"/>
                <w:sz w:val="20"/>
                <w:szCs w:val="20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结果</w:t>
            </w:r>
          </w:p>
          <w:p>
            <w:pPr>
              <w:ind w:left="-136" w:leftChars="-65" w:right="-124" w:rightChars="-59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纠正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ind w:left="-173" w:leftChars="-83" w:right="-134" w:rightChars="-64" w:hanging="1"/>
              <w:jc w:val="center"/>
              <w:rPr>
                <w:rFonts w:ascii="黑体" w:hAnsi="黑体" w:eastAsia="黑体"/>
                <w:kern w:val="0"/>
                <w:sz w:val="20"/>
                <w:szCs w:val="20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其他</w:t>
            </w:r>
          </w:p>
          <w:p>
            <w:pPr>
              <w:ind w:left="-173" w:leftChars="-83" w:right="-134" w:rightChars="-64" w:hanging="1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结果</w:t>
            </w:r>
          </w:p>
        </w:tc>
        <w:tc>
          <w:tcPr>
            <w:tcW w:w="60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ind w:left="-67" w:leftChars="-33" w:right="-105" w:rightChars="-50" w:hanging="2" w:hangingChars="1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尚未审结</w:t>
            </w:r>
          </w:p>
        </w:tc>
        <w:tc>
          <w:tcPr>
            <w:tcW w:w="60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总计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04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bottom"/>
          </w:tcPr>
          <w:p>
            <w:pPr>
              <w:jc w:val="center"/>
              <w:rPr>
                <w:rFonts w:ascii="仿宋_GB2312" w:hAnsi="宋体" w:eastAsia="仿宋_GB2312" w:cs="宋体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kern w:val="0"/>
                <w:szCs w:val="21"/>
              </w:rPr>
              <w:t>0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bottom"/>
          </w:tcPr>
          <w:p>
            <w:pPr>
              <w:jc w:val="center"/>
              <w:rPr>
                <w:rFonts w:ascii="仿宋_GB2312" w:hAnsi="宋体" w:eastAsia="仿宋_GB2312" w:cs="宋体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kern w:val="0"/>
                <w:szCs w:val="21"/>
              </w:rPr>
              <w:t>0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bottom"/>
          </w:tcPr>
          <w:p>
            <w:pPr>
              <w:jc w:val="center"/>
              <w:rPr>
                <w:rFonts w:ascii="仿宋_GB2312" w:hAnsi="宋体" w:eastAsia="仿宋_GB2312" w:cs="宋体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kern w:val="0"/>
                <w:szCs w:val="21"/>
              </w:rPr>
              <w:t>0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bottom"/>
          </w:tcPr>
          <w:p>
            <w:pPr>
              <w:jc w:val="center"/>
              <w:rPr>
                <w:rFonts w:ascii="仿宋_GB2312" w:hAnsi="宋体" w:eastAsia="仿宋_GB2312" w:cs="宋体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kern w:val="0"/>
                <w:szCs w:val="21"/>
              </w:rPr>
              <w:t>0</w:t>
            </w:r>
          </w:p>
        </w:tc>
        <w:tc>
          <w:tcPr>
            <w:tcW w:w="65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bottom"/>
          </w:tcPr>
          <w:p>
            <w:pPr>
              <w:jc w:val="center"/>
              <w:rPr>
                <w:rFonts w:ascii="仿宋_GB2312" w:hAnsi="宋体" w:eastAsia="仿宋_GB2312" w:cs="宋体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kern w:val="0"/>
                <w:szCs w:val="21"/>
              </w:rPr>
              <w:t>0</w:t>
            </w:r>
          </w:p>
        </w:tc>
        <w:tc>
          <w:tcPr>
            <w:tcW w:w="55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bottom"/>
          </w:tcPr>
          <w:p>
            <w:pPr>
              <w:jc w:val="center"/>
              <w:rPr>
                <w:rFonts w:ascii="仿宋_GB2312" w:hAnsi="宋体" w:eastAsia="仿宋_GB2312" w:cs="宋体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kern w:val="0"/>
                <w:szCs w:val="21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bottom"/>
          </w:tcPr>
          <w:p>
            <w:pPr>
              <w:jc w:val="center"/>
              <w:rPr>
                <w:rFonts w:ascii="仿宋_GB2312" w:hAnsi="宋体" w:eastAsia="仿宋_GB2312" w:cs="宋体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kern w:val="0"/>
                <w:szCs w:val="21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bottom"/>
          </w:tcPr>
          <w:p>
            <w:pPr>
              <w:jc w:val="center"/>
              <w:rPr>
                <w:rFonts w:ascii="仿宋_GB2312" w:hAnsi="宋体" w:eastAsia="仿宋_GB2312" w:cs="宋体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kern w:val="0"/>
                <w:szCs w:val="21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bottom"/>
          </w:tcPr>
          <w:p>
            <w:pPr>
              <w:jc w:val="center"/>
              <w:rPr>
                <w:rFonts w:ascii="仿宋_GB2312" w:hAnsi="宋体" w:eastAsia="仿宋_GB2312" w:cs="宋体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kern w:val="0"/>
                <w:szCs w:val="21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bottom"/>
          </w:tcPr>
          <w:p>
            <w:pPr>
              <w:jc w:val="center"/>
              <w:rPr>
                <w:rFonts w:ascii="仿宋_GB2312" w:hAnsi="宋体" w:eastAsia="仿宋_GB2312" w:cs="宋体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kern w:val="0"/>
                <w:szCs w:val="21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bottom"/>
          </w:tcPr>
          <w:p>
            <w:pPr>
              <w:jc w:val="center"/>
              <w:rPr>
                <w:rFonts w:ascii="仿宋_GB2312" w:hAnsi="宋体" w:eastAsia="仿宋_GB2312" w:cs="宋体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kern w:val="0"/>
                <w:szCs w:val="21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bottom"/>
          </w:tcPr>
          <w:p>
            <w:pPr>
              <w:jc w:val="center"/>
              <w:rPr>
                <w:rFonts w:ascii="仿宋_GB2312" w:hAnsi="宋体" w:eastAsia="仿宋_GB2312" w:cs="宋体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kern w:val="0"/>
                <w:szCs w:val="21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bottom"/>
          </w:tcPr>
          <w:p>
            <w:pPr>
              <w:jc w:val="center"/>
              <w:rPr>
                <w:rFonts w:ascii="仿宋_GB2312" w:hAnsi="宋体" w:eastAsia="仿宋_GB2312" w:cs="宋体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kern w:val="0"/>
                <w:szCs w:val="21"/>
              </w:rPr>
              <w:t>0</w:t>
            </w:r>
          </w:p>
        </w:tc>
        <w:tc>
          <w:tcPr>
            <w:tcW w:w="6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bottom"/>
          </w:tcPr>
          <w:p>
            <w:pPr>
              <w:jc w:val="center"/>
              <w:rPr>
                <w:rFonts w:ascii="仿宋_GB2312" w:hAnsi="宋体" w:eastAsia="仿宋_GB2312" w:cs="宋体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kern w:val="0"/>
                <w:szCs w:val="21"/>
              </w:rPr>
              <w:t>0</w:t>
            </w:r>
          </w:p>
        </w:tc>
        <w:tc>
          <w:tcPr>
            <w:tcW w:w="6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bottom"/>
          </w:tcPr>
          <w:p>
            <w:pPr>
              <w:jc w:val="center"/>
              <w:rPr>
                <w:rFonts w:ascii="仿宋_GB2312" w:hAnsi="宋体" w:eastAsia="仿宋_GB2312" w:cs="宋体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kern w:val="0"/>
                <w:szCs w:val="21"/>
              </w:rPr>
              <w:t>0</w:t>
            </w:r>
          </w:p>
        </w:tc>
      </w:tr>
      <w:bookmarkEnd w:id="11"/>
    </w:tbl>
    <w:p>
      <w:pPr>
        <w:spacing w:line="576" w:lineRule="exact"/>
        <w:ind w:firstLine="640" w:firstLineChars="200"/>
        <w:rPr>
          <w:rFonts w:ascii="黑体" w:hAnsi="黑体" w:eastAsia="黑体"/>
          <w:sz w:val="32"/>
          <w:szCs w:val="32"/>
        </w:rPr>
      </w:pPr>
    </w:p>
    <w:p>
      <w:pPr>
        <w:spacing w:line="576" w:lineRule="exact"/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五、存在的主要问题及改进情况</w:t>
      </w:r>
    </w:p>
    <w:p>
      <w:pPr>
        <w:pStyle w:val="7"/>
        <w:spacing w:beforeAutospacing="0" w:afterAutospacing="0" w:line="576" w:lineRule="exact"/>
        <w:ind w:firstLine="640" w:firstLineChars="200"/>
        <w:rPr>
          <w:rFonts w:ascii="仿宋_GB2312" w:eastAsia="仿宋_GB2312" w:cstheme="minorBidi"/>
          <w:kern w:val="2"/>
          <w:sz w:val="32"/>
          <w:szCs w:val="32"/>
        </w:rPr>
      </w:pPr>
      <w:r>
        <w:rPr>
          <w:rFonts w:hint="eastAsia" w:ascii="仿宋_GB2312" w:eastAsia="仿宋_GB2312" w:cstheme="minorBidi"/>
          <w:kern w:val="2"/>
          <w:sz w:val="32"/>
          <w:szCs w:val="32"/>
        </w:rPr>
        <w:t>2021年，临港区政府信息公开工作取得了一定成绩，但整体水平与公众期望相比仍有差距，依然存在基层政务公开工作人员能力有待加强、法定主动公开栏目设置有待优化等问题。2022年，临港区将着重做好以下三方面工作：</w:t>
      </w:r>
    </w:p>
    <w:p>
      <w:pPr>
        <w:pStyle w:val="7"/>
        <w:spacing w:beforeAutospacing="0" w:afterAutospacing="0" w:line="576" w:lineRule="exact"/>
        <w:ind w:firstLine="640" w:firstLineChars="200"/>
        <w:rPr>
          <w:rFonts w:ascii="仿宋_GB2312" w:eastAsia="仿宋_GB2312" w:cstheme="minorBidi"/>
          <w:kern w:val="2"/>
          <w:sz w:val="32"/>
          <w:szCs w:val="32"/>
        </w:rPr>
      </w:pPr>
      <w:r>
        <w:rPr>
          <w:rFonts w:hint="eastAsia" w:ascii="仿宋_GB2312" w:eastAsia="仿宋_GB2312" w:cstheme="minorBidi"/>
          <w:kern w:val="2"/>
          <w:sz w:val="32"/>
          <w:szCs w:val="32"/>
        </w:rPr>
        <w:t>一是加大培训力度。针对基层政务公开工作人员变动频繁导致的能力不足问题，计划通过定期集体培训和不定时“开小灶”相结合的方式，积极开展富有成效的培训，提升基层政务公开工作人员综合素质和专业能力。</w:t>
      </w:r>
    </w:p>
    <w:p>
      <w:pPr>
        <w:pStyle w:val="7"/>
        <w:spacing w:beforeAutospacing="0" w:afterAutospacing="0" w:line="576" w:lineRule="exact"/>
        <w:ind w:firstLine="640" w:firstLineChars="200"/>
        <w:rPr>
          <w:rFonts w:ascii="仿宋_GB2312" w:eastAsia="仿宋_GB2312" w:cstheme="minorBidi"/>
          <w:kern w:val="2"/>
          <w:sz w:val="32"/>
          <w:szCs w:val="32"/>
        </w:rPr>
      </w:pPr>
      <w:r>
        <w:rPr>
          <w:rFonts w:hint="eastAsia" w:ascii="仿宋_GB2312" w:eastAsia="仿宋_GB2312" w:cstheme="minorBidi"/>
          <w:kern w:val="2"/>
          <w:sz w:val="32"/>
          <w:szCs w:val="32"/>
        </w:rPr>
        <w:t>二是强化督导检查。优化细化《2022年临港区政务公开考核标准》，对网站信息发布、依申请信息申请处理、新媒体管理等重点工作，按期开展调度，落实考核标准，促进工作水平不断提升。</w:t>
      </w:r>
    </w:p>
    <w:p>
      <w:pPr>
        <w:pStyle w:val="7"/>
        <w:spacing w:beforeAutospacing="0" w:afterAutospacing="0" w:line="576" w:lineRule="exact"/>
        <w:ind w:firstLine="640" w:firstLineChars="200"/>
        <w:rPr>
          <w:rFonts w:ascii="仿宋_GB2312" w:eastAsia="仿宋_GB2312" w:cstheme="minorBidi"/>
          <w:kern w:val="2"/>
          <w:sz w:val="32"/>
          <w:szCs w:val="32"/>
        </w:rPr>
      </w:pPr>
      <w:r>
        <w:rPr>
          <w:rFonts w:hint="eastAsia" w:ascii="仿宋_GB2312" w:eastAsia="仿宋_GB2312" w:cstheme="minorBidi"/>
          <w:kern w:val="2"/>
          <w:sz w:val="32"/>
          <w:szCs w:val="32"/>
        </w:rPr>
        <w:t>三是优化栏目设置。立足临港区发展实际，结合年度政务公开工作要点，广泛征集政务公开领导小组各成员单位意见建议，对法定主动公开栏目梳理优化，明确公开内容、责任单位、发布平台和更新频次，提高主动公开内容标准化、规范化水平。</w:t>
      </w:r>
    </w:p>
    <w:p>
      <w:pPr>
        <w:spacing w:line="576" w:lineRule="exact"/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六、其他需要报告的事项</w:t>
      </w:r>
    </w:p>
    <w:p>
      <w:pPr>
        <w:spacing w:line="576" w:lineRule="exact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1.本年度临港区人大代表、政协委员提案涉及层面均为市级层面，无我区需要协调或办理的情况。</w:t>
      </w:r>
    </w:p>
    <w:p>
      <w:pPr>
        <w:spacing w:line="576" w:lineRule="exact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2.威海临港经济技术开发区管委会网站，在全市2021年四季度检查中，位列威海市门户网站检测结果第一名。</w:t>
      </w:r>
    </w:p>
    <w:sectPr>
      <w:pgSz w:w="11906" w:h="16838"/>
      <w:pgMar w:top="1440" w:right="1474" w:bottom="1440" w:left="1588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等线">
    <w:altName w:val="宋体"/>
    <w:panose1 w:val="00000000000000000000"/>
    <w:charset w:val="86"/>
    <w:family w:val="auto"/>
    <w:pitch w:val="default"/>
    <w:sig w:usb0="00000000" w:usb1="00000000" w:usb2="00000016" w:usb3="00000000" w:csb0="0004000F" w:csb1="00000000"/>
  </w:font>
  <w:font w:name="等线 Light">
    <w:altName w:val="宋体"/>
    <w:panose1 w:val="00000000000000000000"/>
    <w:charset w:val="86"/>
    <w:family w:val="auto"/>
    <w:pitch w:val="default"/>
    <w:sig w:usb0="00000000" w:usb1="00000000" w:usb2="00000016" w:usb3="00000000" w:csb0="0004000F" w:csb1="00000000"/>
  </w:font>
  <w:font w:name="Menlo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等线">
    <w:altName w:val="微软雅黑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等线 Light">
    <w:altName w:val="HanWangShinSuMedium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HanWangShinSuMedium">
    <w:panose1 w:val="02000500000000000000"/>
    <w:charset w:val="88"/>
    <w:family w:val="auto"/>
    <w:pitch w:val="default"/>
    <w:sig w:usb0="800000E3" w:usb1="38C9787A" w:usb2="00000016" w:usb3="00000000" w:csb0="00100000" w:csb1="8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  <w:jc w:val="center"/>
      <w:rPr>
        <w:rFonts w:ascii="宋体" w:hAnsi="宋体" w:eastAsia="宋体"/>
        <w:sz w:val="28"/>
        <w:szCs w:val="28"/>
      </w:rPr>
    </w:pPr>
    <w:r>
      <w:rPr>
        <w:sz w:val="28"/>
      </w:rPr>
      <w:pict>
        <v:shape id="_x0000_s4097" o:spid="_x0000_s4097" o:spt="202" type="#_x0000_t202" style="position:absolute;left:0pt;margin-top:0pt;height:144pt;width:144pt;mso-position-horizontal:center;mso-position-horizontal-relative:margin;mso-wrap-style:none;z-index:251658240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">
          <v:path/>
          <v:fill on="f" focussize="0,0"/>
          <v:stroke on="f" weight="0.5pt" joinstyle="miter"/>
          <v:imagedata o:title=""/>
          <o:lock v:ext="edit"/>
          <v:textbox inset="0mm,0mm,0mm,0mm" style="mso-fit-shape-to-text:t;">
            <w:txbxContent>
              <w:p>
                <w:pPr>
                  <w:snapToGrid w:val="0"/>
                  <w:rPr>
                    <w:rFonts w:eastAsia="宋体"/>
                    <w:sz w:val="18"/>
                  </w:rPr>
                </w:pPr>
                <w:r>
                  <w:rPr>
                    <w:rFonts w:hint="eastAsia" w:eastAsia="宋体"/>
                    <w:sz w:val="18"/>
                  </w:rPr>
                  <w:fldChar w:fldCharType="begin"/>
                </w:r>
                <w:r>
                  <w:rPr>
                    <w:rFonts w:hint="eastAsia" w:eastAsia="宋体"/>
                    <w:sz w:val="18"/>
                  </w:rPr>
                  <w:instrText xml:space="preserve"> PAGE  \* MERGEFORMAT </w:instrText>
                </w:r>
                <w:r>
                  <w:rPr>
                    <w:rFonts w:hint="eastAsia" w:eastAsia="宋体"/>
                    <w:sz w:val="18"/>
                  </w:rPr>
                  <w:fldChar w:fldCharType="separate"/>
                </w:r>
                <w:r>
                  <w:t>1</w:t>
                </w:r>
                <w:r>
                  <w:rPr>
                    <w:rFonts w:hint="eastAsia" w:eastAsia="宋体"/>
                    <w:sz w:val="18"/>
                  </w:rPr>
                  <w:fldChar w:fldCharType="end"/>
                </w:r>
              </w:p>
            </w:txbxContent>
          </v:textbox>
        </v:shape>
      </w:pic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AAFD764B"/>
    <w:multiLevelType w:val="singleLevel"/>
    <w:tmpl w:val="AAFD764B"/>
    <w:lvl w:ilvl="0" w:tentative="0">
      <w:start w:val="4"/>
      <w:numFmt w:val="chineseCounting"/>
      <w:suff w:val="nothing"/>
      <w:lvlText w:val="%1、"/>
      <w:lvlJc w:val="left"/>
      <w:rPr>
        <w:rFonts w:hint="eastAsia"/>
      </w:rPr>
    </w:lvl>
  </w:abstractNum>
  <w:abstractNum w:abstractNumId="1">
    <w:nsid w:val="E973E905"/>
    <w:multiLevelType w:val="singleLevel"/>
    <w:tmpl w:val="E973E905"/>
    <w:lvl w:ilvl="0" w:tentative="0">
      <w:start w:val="2"/>
      <w:numFmt w:val="chineseCounting"/>
      <w:suff w:val="nothing"/>
      <w:lvlText w:val="%1、"/>
      <w:lvlJc w:val="left"/>
      <w:rPr>
        <w:rFonts w:hint="eastAsia"/>
      </w:rPr>
    </w:lvl>
  </w:abstractNum>
  <w:abstractNum w:abstractNumId="2">
    <w:nsid w:val="3AD68B0B"/>
    <w:multiLevelType w:val="singleLevel"/>
    <w:tmpl w:val="3AD68B0B"/>
    <w:lvl w:ilvl="0" w:tentative="0">
      <w:start w:val="3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bordersDoNotSurroundHeader w:val="1"/>
  <w:bordersDoNotSurroundFooter w:val="1"/>
  <w:documentProtection w:enforcement="0"/>
  <w:defaultTabStop w:val="420"/>
  <w:drawingGridHorizontalSpacing w:val="105"/>
  <w:drawingGridVerticalSpacing w:val="156"/>
  <w:noPunctuationKerning w:val="1"/>
  <w:characterSpacingControl w:val="compressPunctuation"/>
  <w:hdrShapeDefaults>
    <o:shapelayout v:ext="edit">
      <o:idmap v:ext="edit" data="3,4"/>
    </o:shapelayout>
  </w:hdrShapeDefaults>
  <w:compat>
    <w:spaceForUL/>
    <w:balanceSingleByteDoubleByteWidth/>
    <w:doNotLeaveBackslashAlone/>
    <w:doNotExpandShiftReturn/>
    <w:adjustLineHeightInTable/>
    <w:doNotBreakWrappedTables/>
    <w:doNotWrapTextWithPunct/>
    <w:doNotUseEastAsianBreakRules/>
    <w:useFELayout/>
    <w:doNotUseIndentAsNumberingTabStop/>
    <w:useAltKinsokuLineBreakRules/>
    <w:compatSetting w:name="compatibilityMode" w:uri="http://schemas.microsoft.com/office/word" w:val="12"/>
  </w:compat>
  <w:rsids>
    <w:rsidRoot w:val="00502C34"/>
    <w:rsid w:val="0003350B"/>
    <w:rsid w:val="000500B1"/>
    <w:rsid w:val="000560B5"/>
    <w:rsid w:val="0006512C"/>
    <w:rsid w:val="000A0094"/>
    <w:rsid w:val="000A57BF"/>
    <w:rsid w:val="000B4F9F"/>
    <w:rsid w:val="000C1FDA"/>
    <w:rsid w:val="00121655"/>
    <w:rsid w:val="00123E53"/>
    <w:rsid w:val="001679FF"/>
    <w:rsid w:val="00180B4F"/>
    <w:rsid w:val="00196721"/>
    <w:rsid w:val="001F026B"/>
    <w:rsid w:val="00203F15"/>
    <w:rsid w:val="00211F6A"/>
    <w:rsid w:val="00243BAF"/>
    <w:rsid w:val="00286BF3"/>
    <w:rsid w:val="002B58BB"/>
    <w:rsid w:val="00315DDF"/>
    <w:rsid w:val="00333740"/>
    <w:rsid w:val="00372E47"/>
    <w:rsid w:val="00384B12"/>
    <w:rsid w:val="00392DAD"/>
    <w:rsid w:val="003C1943"/>
    <w:rsid w:val="004162E7"/>
    <w:rsid w:val="00463EF5"/>
    <w:rsid w:val="004B56DE"/>
    <w:rsid w:val="004D3C2B"/>
    <w:rsid w:val="004D6D24"/>
    <w:rsid w:val="00502C34"/>
    <w:rsid w:val="00515416"/>
    <w:rsid w:val="00531FBB"/>
    <w:rsid w:val="00552F1D"/>
    <w:rsid w:val="005548EB"/>
    <w:rsid w:val="00612182"/>
    <w:rsid w:val="00683E94"/>
    <w:rsid w:val="006B5301"/>
    <w:rsid w:val="006E2A67"/>
    <w:rsid w:val="00760120"/>
    <w:rsid w:val="007E43CD"/>
    <w:rsid w:val="008244CB"/>
    <w:rsid w:val="00846109"/>
    <w:rsid w:val="00851E51"/>
    <w:rsid w:val="00860E4A"/>
    <w:rsid w:val="008C68B1"/>
    <w:rsid w:val="00923DE3"/>
    <w:rsid w:val="00990BC0"/>
    <w:rsid w:val="009D1EAC"/>
    <w:rsid w:val="00A9562B"/>
    <w:rsid w:val="00AC0838"/>
    <w:rsid w:val="00AC0B55"/>
    <w:rsid w:val="00B0360E"/>
    <w:rsid w:val="00B06CEF"/>
    <w:rsid w:val="00B82BD5"/>
    <w:rsid w:val="00B846A3"/>
    <w:rsid w:val="00BA1959"/>
    <w:rsid w:val="00BB1402"/>
    <w:rsid w:val="00BD1F13"/>
    <w:rsid w:val="00BD2DFA"/>
    <w:rsid w:val="00BF2FF7"/>
    <w:rsid w:val="00C106D4"/>
    <w:rsid w:val="00C24C5F"/>
    <w:rsid w:val="00C74995"/>
    <w:rsid w:val="00CA2A1F"/>
    <w:rsid w:val="00CE332F"/>
    <w:rsid w:val="00D206E1"/>
    <w:rsid w:val="00D31E25"/>
    <w:rsid w:val="00DD7168"/>
    <w:rsid w:val="00DF3523"/>
    <w:rsid w:val="00DF7D80"/>
    <w:rsid w:val="00EB34AE"/>
    <w:rsid w:val="00ED6874"/>
    <w:rsid w:val="00ED698F"/>
    <w:rsid w:val="00EE7943"/>
    <w:rsid w:val="00F01622"/>
    <w:rsid w:val="00F03027"/>
    <w:rsid w:val="00F32266"/>
    <w:rsid w:val="00F42818"/>
    <w:rsid w:val="00F57A9C"/>
    <w:rsid w:val="00F7173D"/>
    <w:rsid w:val="00F90155"/>
    <w:rsid w:val="00FC01CB"/>
    <w:rsid w:val="00FF3FF5"/>
    <w:rsid w:val="00FF65C3"/>
    <w:rsid w:val="011F179D"/>
    <w:rsid w:val="036500EB"/>
    <w:rsid w:val="0AA21EFE"/>
    <w:rsid w:val="0C283572"/>
    <w:rsid w:val="10E059E4"/>
    <w:rsid w:val="1578378E"/>
    <w:rsid w:val="29D615C5"/>
    <w:rsid w:val="2A8F72B6"/>
    <w:rsid w:val="2C864E97"/>
    <w:rsid w:val="2D72477B"/>
    <w:rsid w:val="34A146BE"/>
    <w:rsid w:val="3C62594A"/>
    <w:rsid w:val="3C787E8C"/>
    <w:rsid w:val="410E53C1"/>
    <w:rsid w:val="41CD3974"/>
    <w:rsid w:val="44CA363B"/>
    <w:rsid w:val="5A053700"/>
    <w:rsid w:val="5C742FCD"/>
    <w:rsid w:val="601C5E1C"/>
    <w:rsid w:val="62FF1F56"/>
    <w:rsid w:val="64FE0798"/>
    <w:rsid w:val="7809377A"/>
    <w:rsid w:val="7DB22AE3"/>
    <w:rsid w:val="7F383B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semiHidden="0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semiHidden="0" w:name="Hyperlink"/>
    <w:lsdException w:qFormat="1" w:uiPriority="99" w:semiHidden="0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qFormat="1" w:uiPriority="99" w:semiHidden="0" w:name="HTML Code"/>
    <w:lsdException w:qFormat="1" w:uiPriority="99" w:semiHidden="0" w:name="HTML Definition"/>
    <w:lsdException w:qFormat="1" w:uiPriority="99" w:semiHidden="0" w:name="HTML Keyboard"/>
    <w:lsdException w:uiPriority="99" w:name="HTML Preformatted"/>
    <w:lsdException w:qFormat="1" w:uiPriority="99" w:semiHidden="0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qFormat="1" w:unhideWhenUsed="0" w:uiPriority="0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styleId="2">
    <w:name w:val="heading 1"/>
    <w:basedOn w:val="1"/>
    <w:next w:val="1"/>
    <w:link w:val="20"/>
    <w:qFormat/>
    <w:uiPriority w:val="9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paragraph" w:styleId="3">
    <w:name w:val="heading 2"/>
    <w:basedOn w:val="1"/>
    <w:next w:val="1"/>
    <w:link w:val="21"/>
    <w:unhideWhenUsed/>
    <w:qFormat/>
    <w:uiPriority w:val="9"/>
    <w:pPr>
      <w:keepNext/>
      <w:keepLines/>
      <w:spacing w:before="260" w:after="260" w:line="416" w:lineRule="auto"/>
      <w:outlineLvl w:val="1"/>
    </w:pPr>
    <w:rPr>
      <w:rFonts w:asciiTheme="majorHAnsi" w:hAnsiTheme="majorHAnsi" w:eastAsiaTheme="majorEastAsia" w:cstheme="majorBidi"/>
      <w:b/>
      <w:bCs/>
      <w:sz w:val="32"/>
      <w:szCs w:val="32"/>
    </w:rPr>
  </w:style>
  <w:style w:type="character" w:default="1" w:styleId="8">
    <w:name w:val="Default Paragraph Font"/>
    <w:semiHidden/>
    <w:unhideWhenUsed/>
    <w:uiPriority w:val="1"/>
  </w:style>
  <w:style w:type="table" w:default="1" w:styleId="16">
    <w:name w:val="Normal Table"/>
    <w:semiHidden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Balloon Text"/>
    <w:basedOn w:val="1"/>
    <w:link w:val="24"/>
    <w:semiHidden/>
    <w:unhideWhenUsed/>
    <w:qFormat/>
    <w:uiPriority w:val="99"/>
    <w:rPr>
      <w:sz w:val="18"/>
      <w:szCs w:val="18"/>
    </w:rPr>
  </w:style>
  <w:style w:type="paragraph" w:styleId="5">
    <w:name w:val="footer"/>
    <w:basedOn w:val="1"/>
    <w:link w:val="19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6">
    <w:name w:val="header"/>
    <w:basedOn w:val="1"/>
    <w:link w:val="18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7">
    <w:name w:val="Normal (Web)"/>
    <w:basedOn w:val="1"/>
    <w:semiHidden/>
    <w:unhideWhenUsed/>
    <w:uiPriority w:val="99"/>
    <w:pPr>
      <w:spacing w:beforeAutospacing="1" w:afterAutospacing="1"/>
      <w:jc w:val="left"/>
    </w:pPr>
    <w:rPr>
      <w:rFonts w:cs="Times New Roman"/>
      <w:kern w:val="0"/>
      <w:sz w:val="24"/>
    </w:rPr>
  </w:style>
  <w:style w:type="character" w:styleId="9">
    <w:name w:val="Strong"/>
    <w:basedOn w:val="8"/>
    <w:qFormat/>
    <w:uiPriority w:val="22"/>
    <w:rPr>
      <w:b/>
    </w:rPr>
  </w:style>
  <w:style w:type="character" w:styleId="10">
    <w:name w:val="FollowedHyperlink"/>
    <w:basedOn w:val="8"/>
    <w:unhideWhenUsed/>
    <w:qFormat/>
    <w:uiPriority w:val="99"/>
    <w:rPr>
      <w:color w:val="337AB7"/>
      <w:u w:val="single"/>
    </w:rPr>
  </w:style>
  <w:style w:type="character" w:styleId="11">
    <w:name w:val="HTML Definition"/>
    <w:basedOn w:val="8"/>
    <w:unhideWhenUsed/>
    <w:qFormat/>
    <w:uiPriority w:val="99"/>
    <w:rPr>
      <w:i/>
    </w:rPr>
  </w:style>
  <w:style w:type="character" w:styleId="12">
    <w:name w:val="Hyperlink"/>
    <w:basedOn w:val="8"/>
    <w:unhideWhenUsed/>
    <w:qFormat/>
    <w:uiPriority w:val="99"/>
    <w:rPr>
      <w:color w:val="337AB7"/>
      <w:u w:val="single"/>
    </w:rPr>
  </w:style>
  <w:style w:type="character" w:styleId="13">
    <w:name w:val="HTML Code"/>
    <w:basedOn w:val="8"/>
    <w:unhideWhenUsed/>
    <w:qFormat/>
    <w:uiPriority w:val="99"/>
    <w:rPr>
      <w:rFonts w:ascii="Menlo" w:hAnsi="Menlo" w:eastAsia="Menlo" w:cs="Menlo"/>
      <w:color w:val="C7254E"/>
      <w:sz w:val="21"/>
      <w:szCs w:val="21"/>
      <w:shd w:val="clear" w:color="auto" w:fill="F9F2F4"/>
    </w:rPr>
  </w:style>
  <w:style w:type="character" w:styleId="14">
    <w:name w:val="HTML Keyboard"/>
    <w:basedOn w:val="8"/>
    <w:unhideWhenUsed/>
    <w:qFormat/>
    <w:uiPriority w:val="99"/>
    <w:rPr>
      <w:rFonts w:hint="default" w:ascii="Menlo" w:hAnsi="Menlo" w:eastAsia="Menlo" w:cs="Menlo"/>
      <w:color w:val="FFFFFF"/>
      <w:sz w:val="21"/>
      <w:szCs w:val="21"/>
      <w:shd w:val="clear" w:color="auto" w:fill="333333"/>
    </w:rPr>
  </w:style>
  <w:style w:type="character" w:styleId="15">
    <w:name w:val="HTML Sample"/>
    <w:basedOn w:val="8"/>
    <w:unhideWhenUsed/>
    <w:qFormat/>
    <w:uiPriority w:val="99"/>
    <w:rPr>
      <w:rFonts w:hint="default" w:ascii="Menlo" w:hAnsi="Menlo" w:eastAsia="Menlo" w:cs="Menlo"/>
      <w:sz w:val="21"/>
      <w:szCs w:val="21"/>
    </w:rPr>
  </w:style>
  <w:style w:type="table" w:styleId="17">
    <w:name w:val="Table Grid"/>
    <w:basedOn w:val="16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18">
    <w:name w:val="页眉 Char"/>
    <w:basedOn w:val="8"/>
    <w:link w:val="6"/>
    <w:qFormat/>
    <w:uiPriority w:val="99"/>
    <w:rPr>
      <w:sz w:val="18"/>
      <w:szCs w:val="18"/>
    </w:rPr>
  </w:style>
  <w:style w:type="character" w:customStyle="1" w:styleId="19">
    <w:name w:val="页脚 Char"/>
    <w:basedOn w:val="8"/>
    <w:link w:val="5"/>
    <w:qFormat/>
    <w:uiPriority w:val="99"/>
    <w:rPr>
      <w:sz w:val="18"/>
      <w:szCs w:val="18"/>
    </w:rPr>
  </w:style>
  <w:style w:type="character" w:customStyle="1" w:styleId="20">
    <w:name w:val="标题 1 Char"/>
    <w:basedOn w:val="8"/>
    <w:link w:val="2"/>
    <w:qFormat/>
    <w:uiPriority w:val="9"/>
    <w:rPr>
      <w:b/>
      <w:bCs/>
      <w:kern w:val="44"/>
      <w:sz w:val="44"/>
      <w:szCs w:val="44"/>
    </w:rPr>
  </w:style>
  <w:style w:type="character" w:customStyle="1" w:styleId="21">
    <w:name w:val="标题 2 Char"/>
    <w:basedOn w:val="8"/>
    <w:link w:val="3"/>
    <w:qFormat/>
    <w:uiPriority w:val="9"/>
    <w:rPr>
      <w:rFonts w:asciiTheme="majorHAnsi" w:hAnsiTheme="majorHAnsi" w:eastAsiaTheme="majorEastAsia" w:cstheme="majorBidi"/>
      <w:b/>
      <w:bCs/>
      <w:sz w:val="32"/>
      <w:szCs w:val="32"/>
    </w:rPr>
  </w:style>
  <w:style w:type="paragraph" w:customStyle="1" w:styleId="22">
    <w:name w:val="列出段落1"/>
    <w:basedOn w:val="1"/>
    <w:qFormat/>
    <w:uiPriority w:val="34"/>
    <w:pPr>
      <w:ind w:firstLine="420" w:firstLineChars="200"/>
    </w:pPr>
  </w:style>
  <w:style w:type="character" w:customStyle="1" w:styleId="23">
    <w:name w:val="fontstyle01"/>
    <w:basedOn w:val="8"/>
    <w:qFormat/>
    <w:uiPriority w:val="0"/>
    <w:rPr>
      <w:rFonts w:hint="eastAsia" w:ascii="仿宋_GB2312" w:eastAsia="仿宋_GB2312"/>
      <w:color w:val="000000"/>
      <w:sz w:val="32"/>
      <w:szCs w:val="32"/>
    </w:rPr>
  </w:style>
  <w:style w:type="character" w:customStyle="1" w:styleId="24">
    <w:name w:val="批注框文本 Char"/>
    <w:basedOn w:val="8"/>
    <w:link w:val="4"/>
    <w:semiHidden/>
    <w:qFormat/>
    <w:uiPriority w:val="99"/>
    <w:rPr>
      <w:rFonts w:asciiTheme="minorHAnsi" w:hAnsiTheme="minorHAnsi" w:eastAsiaTheme="minorEastAsia" w:cstheme="minorBidi"/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3.png"/><Relationship Id="rId8" Type="http://schemas.openxmlformats.org/officeDocument/2006/relationships/image" Target="media/image2.png"/><Relationship Id="rId7" Type="http://schemas.openxmlformats.org/officeDocument/2006/relationships/image" Target="media/image1.png"/><Relationship Id="rId6" Type="http://schemas.openxmlformats.org/officeDocument/2006/relationships/chart" Target="charts/chart2.xml"/><Relationship Id="rId5" Type="http://schemas.openxmlformats.org/officeDocument/2006/relationships/chart" Target="charts/chart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5" Type="http://schemas.openxmlformats.org/officeDocument/2006/relationships/fontTable" Target="fontTable.xml"/><Relationship Id="rId14" Type="http://schemas.openxmlformats.org/officeDocument/2006/relationships/numbering" Target="numbering.xml"/><Relationship Id="rId13" Type="http://schemas.openxmlformats.org/officeDocument/2006/relationships/customXml" Target="../customXml/item1.xml"/><Relationship Id="rId12" Type="http://schemas.openxmlformats.org/officeDocument/2006/relationships/image" Target="media/image6.jpeg"/><Relationship Id="rId11" Type="http://schemas.openxmlformats.org/officeDocument/2006/relationships/image" Target="media/image5.jpeg"/><Relationship Id="rId10" Type="http://schemas.openxmlformats.org/officeDocument/2006/relationships/image" Target="media/image4.png"/><Relationship Id="rId1" Type="http://schemas.openxmlformats.org/officeDocument/2006/relationships/styles" Target="styles.xml"/></Relationships>
</file>

<file path=word/charts/_rels/chart1.xml.rels><?xml version="1.0" encoding="UTF-8" standalone="yes"?>
<Relationships xmlns="http://schemas.openxmlformats.org/package/2006/relationships"><Relationship Id="rId1" Type="http://schemas.openxmlformats.org/officeDocument/2006/relationships/oleObject" Target="file:///C:\Users\Administrator\Desktop\&#32508;&#21512;&#25191;&#27861;-&#30417;&#31649;&#35201;&#32032;&#32479;&#35745;.xlsx" TargetMode="External"/></Relationships>
</file>

<file path=word/charts/_rels/chart2.xml.rels><?xml version="1.0" encoding="UTF-8" standalone="yes"?>
<Relationships xmlns="http://schemas.openxmlformats.org/package/2006/relationships"><Relationship Id="rId1" Type="http://schemas.openxmlformats.org/officeDocument/2006/relationships/oleObject" Target="file:///C:\Users\Administrator\Desktop\&#32508;&#21512;&#25191;&#27861;-&#30417;&#31649;&#35201;&#32032;&#32479;&#35745;.xlsx" TargetMode="Externa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zh-CN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0" vertOverflow="ellipsis" vert="horz" wrap="square" anchor="ctr" anchorCtr="1"/>
          <a:lstStyle/>
          <a:p>
            <a:pPr defTabSz="914400">
              <a:defRPr lang="zh-CN" sz="1400" b="0" i="0" u="none" strike="noStrike" kern="1200" spc="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en-US" altLang="zh-CN" sz="1200">
                <a:solidFill>
                  <a:schemeClr val="tx1"/>
                </a:solidFill>
                <a:uFillTx/>
              </a:rPr>
              <a:t>2021</a:t>
            </a:r>
            <a:r>
              <a:rPr altLang="en-US" sz="1200">
                <a:solidFill>
                  <a:schemeClr val="tx1"/>
                </a:solidFill>
                <a:uFillTx/>
              </a:rPr>
              <a:t>年公开信息情况</a:t>
            </a:r>
            <a:endParaRPr altLang="en-US" sz="1200">
              <a:solidFill>
                <a:schemeClr val="tx1"/>
              </a:solidFill>
              <a:uFillTx/>
            </a:endParaRPr>
          </a:p>
        </c:rich>
      </c:tx>
      <c:layout>
        <c:manualLayout>
          <c:xMode val="edge"/>
          <c:yMode val="edge"/>
          <c:x val="0.199559636036482"/>
          <c:y val="0.0306018387774954"/>
        </c:manualLayout>
      </c:layout>
      <c:overlay val="0"/>
      <c:spPr>
        <a:noFill/>
        <a:ln>
          <a:noFill/>
        </a:ln>
        <a:effectLst/>
      </c:spPr>
    </c:title>
    <c:autoTitleDeleted val="0"/>
    <c:plotArea>
      <c:layout/>
      <c:pieChart>
        <c:varyColors val="1"/>
        <c:ser>
          <c:idx val="0"/>
          <c:order val="0"/>
          <c:explosion val="0"/>
          <c:dPt>
            <c:idx val="0"/>
            <c:bubble3D val="0"/>
            <c:spPr>
              <a:solidFill>
                <a:schemeClr val="accent1"/>
              </a:solidFill>
              <a:ln w="19050">
                <a:solidFill>
                  <a:schemeClr val="lt1"/>
                </a:solidFill>
              </a:ln>
              <a:effectLst/>
            </c:spPr>
          </c:dPt>
          <c:dPt>
            <c:idx val="1"/>
            <c:bubble3D val="0"/>
            <c:spPr>
              <a:solidFill>
                <a:schemeClr val="accent2"/>
              </a:solidFill>
              <a:ln w="19050">
                <a:solidFill>
                  <a:schemeClr val="lt1"/>
                </a:solidFill>
              </a:ln>
              <a:effectLst/>
            </c:spPr>
          </c:dPt>
          <c:dPt>
            <c:idx val="2"/>
            <c:bubble3D val="0"/>
            <c:spPr>
              <a:solidFill>
                <a:schemeClr val="accent3"/>
              </a:solidFill>
              <a:ln w="19050">
                <a:solidFill>
                  <a:schemeClr val="lt1"/>
                </a:solidFill>
              </a:ln>
              <a:effectLst/>
            </c:spPr>
          </c:dPt>
          <c:dPt>
            <c:idx val="3"/>
            <c:bubble3D val="0"/>
            <c:spPr>
              <a:solidFill>
                <a:schemeClr val="accent4"/>
              </a:solidFill>
              <a:ln w="19050">
                <a:solidFill>
                  <a:schemeClr val="lt1"/>
                </a:solidFill>
              </a:ln>
              <a:effectLst/>
            </c:spPr>
          </c:dPt>
          <c:dLbls>
            <c:dLbl>
              <c:idx val="2"/>
              <c:layout>
                <c:manualLayout>
                  <c:x val="0.105193646265418"/>
                  <c:y val="0.17106396938095"/>
                </c:manualLayout>
              </c:layout>
              <c:dLblPos val="bestFit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>
                  <c15:layout/>
                </c:ext>
              </c:extLst>
            </c:dLbl>
            <c:dLbl>
              <c:idx val="3"/>
              <c:layout>
                <c:manualLayout>
                  <c:x val="-0.00328135985224392"/>
                  <c:y val="0.111812722402483"/>
                </c:manualLayout>
              </c:layout>
              <c:dLblPos val="bestFit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>
                  <c15:layout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0" vertOverflow="ellipsis" vert="horz" wrap="square" lIns="38100" tIns="19050" rIns="38100" bIns="19050" anchor="ctr" anchorCtr="1"/>
              <a:lstStyle/>
              <a:p>
                <a:pPr>
                  <a:defRPr lang="zh-CN"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</a:p>
            </c:txPr>
            <c:dLblPos val="ctr"/>
            <c:showLegendKey val="0"/>
            <c:showVal val="1"/>
            <c:showCatName val="0"/>
            <c:showSerName val="0"/>
            <c:showPercent val="0"/>
            <c:showBubbleSize val="0"/>
            <c:showLeaderLines val="1"/>
            <c:extLst>
              <c:ext xmlns:c15="http://schemas.microsoft.com/office/drawing/2012/chart" uri="{CE6537A1-D6FC-4f65-9D91-7224C49458BB}">
                <c15:layout/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prstDash val="solid"/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'[综合执法-监管要素统计.xlsx]Sheet2'!$G$29:$G$32</c:f>
              <c:strCache>
                <c:ptCount val="4"/>
                <c:pt idx="0">
                  <c:v>网站</c:v>
                </c:pt>
                <c:pt idx="1">
                  <c:v>微信</c:v>
                </c:pt>
                <c:pt idx="2">
                  <c:v>微博</c:v>
                </c:pt>
                <c:pt idx="3">
                  <c:v>抖音</c:v>
                </c:pt>
              </c:strCache>
            </c:strRef>
          </c:cat>
          <c:val>
            <c:numRef>
              <c:f>'[综合执法-监管要素统计.xlsx]Sheet2'!$H$29:$H$32</c:f>
              <c:numCache>
                <c:formatCode>General</c:formatCode>
                <c:ptCount val="4"/>
                <c:pt idx="0">
                  <c:v>4325</c:v>
                </c:pt>
                <c:pt idx="1">
                  <c:v>3330</c:v>
                </c:pt>
                <c:pt idx="2">
                  <c:v>1352</c:v>
                </c:pt>
                <c:pt idx="3">
                  <c:v>175</c:v>
                </c:pt>
              </c:numCache>
            </c:numRef>
          </c:val>
        </c:ser>
        <c:dLbls>
          <c:showLegendKey val="0"/>
          <c:showVal val="1"/>
          <c:showCatName val="0"/>
          <c:showSerName val="0"/>
          <c:showPercent val="0"/>
          <c:showBubbleSize val="0"/>
          <c:showLeaderLines val="1"/>
        </c:dLbls>
        <c:firstSliceAng val="0"/>
      </c:pieChart>
      <c:spPr>
        <a:noFill/>
        <a:ln>
          <a:noFill/>
        </a:ln>
        <a:effectLst/>
      </c:spPr>
    </c:plotArea>
    <c:legend>
      <c:legendPos val="b"/>
      <c:legendEntry>
        <c:idx val="0"/>
        <c:txPr>
          <a:bodyPr rot="0" spcFirstLastPara="0" vertOverflow="ellipsis" vert="horz" wrap="square" anchor="ctr" anchorCtr="1"/>
          <a:lstStyle/>
          <a:p>
            <a:pPr>
              <a:defRPr lang="zh-CN" sz="900" b="0" i="0" u="none" strike="noStrike" kern="1200" cap="none" spc="0" normalizeH="0" baseline="0">
                <a:solidFill>
                  <a:schemeClr val="tx1"/>
                </a:solidFill>
                <a:uFill>
                  <a:solidFill>
                    <a:schemeClr val="tx1">
                      <a:lumMod val="65000"/>
                      <a:lumOff val="35000"/>
                    </a:schemeClr>
                  </a:solidFill>
                </a:uFill>
                <a:latin typeface="+mn-lt"/>
                <a:ea typeface="+mn-ea"/>
                <a:cs typeface="+mn-cs"/>
              </a:defRPr>
            </a:pPr>
          </a:p>
        </c:txPr>
      </c:legendEntry>
      <c:legendEntry>
        <c:idx val="1"/>
        <c:txPr>
          <a:bodyPr rot="0" spcFirstLastPara="0" vertOverflow="ellipsis" vert="horz" wrap="square" anchor="ctr" anchorCtr="1"/>
          <a:lstStyle/>
          <a:p>
            <a:pPr>
              <a:defRPr lang="zh-CN" sz="900" b="0" i="0" u="none" strike="noStrike" kern="1200" cap="none" spc="0" normalizeH="0" baseline="0">
                <a:solidFill>
                  <a:schemeClr val="tx1"/>
                </a:solidFill>
                <a:uFill>
                  <a:solidFill>
                    <a:schemeClr val="tx1">
                      <a:lumMod val="65000"/>
                      <a:lumOff val="35000"/>
                    </a:schemeClr>
                  </a:solidFill>
                </a:uFill>
                <a:latin typeface="+mn-lt"/>
                <a:ea typeface="+mn-ea"/>
                <a:cs typeface="+mn-cs"/>
              </a:defRPr>
            </a:pPr>
          </a:p>
        </c:txPr>
      </c:legendEntry>
      <c:legendEntry>
        <c:idx val="2"/>
        <c:txPr>
          <a:bodyPr rot="0" spcFirstLastPara="0" vertOverflow="ellipsis" vert="horz" wrap="square" anchor="ctr" anchorCtr="1"/>
          <a:lstStyle/>
          <a:p>
            <a:pPr>
              <a:defRPr lang="zh-CN" sz="900" b="0" i="0" u="none" strike="noStrike" kern="1200" cap="none" spc="0" normalizeH="0" baseline="0">
                <a:solidFill>
                  <a:schemeClr val="tx1"/>
                </a:solidFill>
                <a:uFill>
                  <a:solidFill>
                    <a:schemeClr val="tx1">
                      <a:lumMod val="65000"/>
                      <a:lumOff val="35000"/>
                    </a:schemeClr>
                  </a:solidFill>
                </a:uFill>
                <a:latin typeface="+mn-lt"/>
                <a:ea typeface="+mn-ea"/>
                <a:cs typeface="+mn-cs"/>
              </a:defRPr>
            </a:pPr>
          </a:p>
        </c:txPr>
      </c:legendEntry>
      <c:legendEntry>
        <c:idx val="3"/>
        <c:txPr>
          <a:bodyPr rot="0" spcFirstLastPara="0" vertOverflow="ellipsis" vert="horz" wrap="square" anchor="ctr" anchorCtr="1"/>
          <a:lstStyle/>
          <a:p>
            <a:pPr>
              <a:defRPr lang="zh-CN" sz="900" b="0" i="0" u="none" strike="noStrike" kern="1200" cap="none" spc="0" normalizeH="0" baseline="0">
                <a:solidFill>
                  <a:schemeClr val="tx1"/>
                </a:solidFill>
                <a:uFill>
                  <a:solidFill>
                    <a:schemeClr val="tx1">
                      <a:lumMod val="65000"/>
                      <a:lumOff val="35000"/>
                    </a:schemeClr>
                  </a:solidFill>
                </a:uFill>
                <a:latin typeface="+mn-lt"/>
                <a:ea typeface="+mn-ea"/>
                <a:cs typeface="+mn-cs"/>
              </a:defRPr>
            </a:pPr>
          </a:p>
        </c:txPr>
      </c:legendEntry>
      <c:layout/>
      <c:overlay val="0"/>
      <c:spPr>
        <a:noFill/>
        <a:ln>
          <a:noFill/>
        </a:ln>
        <a:effectLst/>
      </c:spPr>
      <c:txPr>
        <a:bodyPr rot="0" spcFirstLastPara="0" vertOverflow="ellipsis" vert="horz" wrap="square" anchor="ctr" anchorCtr="1"/>
        <a:lstStyle/>
        <a:p>
          <a:pPr>
            <a:defRPr lang="zh-CN" sz="900" b="0" i="0" u="none" strike="noStrike" kern="1200" cap="none" spc="0" normalizeH="0" baseline="0">
              <a:solidFill>
                <a:schemeClr val="tx1"/>
              </a:solidFill>
              <a:uFill>
                <a:solidFill>
                  <a:schemeClr val="tx1">
                    <a:lumMod val="65000"/>
                    <a:lumOff val="35000"/>
                  </a:schemeClr>
                </a:solidFill>
              </a:uFill>
              <a:latin typeface="+mn-lt"/>
              <a:ea typeface="+mn-ea"/>
              <a:cs typeface="+mn-cs"/>
            </a:defRPr>
          </a:pPr>
        </a:p>
      </c:txPr>
    </c:legend>
    <c:plotVisOnly val="1"/>
    <c:dispBlanksAs val="zero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prstDash val="solid"/>
      <a:round/>
    </a:ln>
    <a:effectLst/>
  </c:spPr>
  <c:txPr>
    <a:bodyPr/>
    <a:lstStyle/>
    <a:p>
      <a:pPr>
        <a:defRPr lang="zh-CN"/>
      </a:pPr>
    </a:p>
  </c:txPr>
  <c:externalData r:id="rId1">
    <c:autoUpdate val="0"/>
  </c:externalData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zh-CN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0" vertOverflow="ellipsis" vert="horz" wrap="square" anchor="ctr" anchorCtr="1"/>
          <a:lstStyle/>
          <a:p>
            <a:pPr defTabSz="914400">
              <a:defRPr lang="zh-CN" sz="1400" b="0" i="0" u="none" strike="noStrike" kern="1200" spc="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en-US" altLang="zh-CN" sz="1200">
                <a:solidFill>
                  <a:schemeClr val="tx1"/>
                </a:solidFill>
                <a:uFillTx/>
              </a:rPr>
              <a:t>2021</a:t>
            </a:r>
            <a:r>
              <a:rPr altLang="en-US" sz="1200">
                <a:solidFill>
                  <a:schemeClr val="tx1"/>
                </a:solidFill>
                <a:uFillTx/>
              </a:rPr>
              <a:t>年依申请公开处理情况</a:t>
            </a:r>
            <a:endParaRPr altLang="en-US" sz="1200">
              <a:solidFill>
                <a:schemeClr val="tx1"/>
              </a:solidFill>
              <a:uFillTx/>
            </a:endParaRPr>
          </a:p>
        </c:rich>
      </c:tx>
      <c:layout/>
      <c:overlay val="0"/>
      <c:spPr>
        <a:noFill/>
        <a:ln>
          <a:noFill/>
        </a:ln>
        <a:effectLst/>
      </c:spPr>
    </c:title>
    <c:autoTitleDeleted val="0"/>
    <c:plotArea>
      <c:layout/>
      <c:pieChart>
        <c:varyColors val="1"/>
        <c:ser>
          <c:idx val="0"/>
          <c:order val="0"/>
          <c:explosion val="0"/>
          <c:dPt>
            <c:idx val="0"/>
            <c:bubble3D val="0"/>
            <c:spPr>
              <a:solidFill>
                <a:schemeClr val="accent1"/>
              </a:solidFill>
              <a:ln w="19050">
                <a:solidFill>
                  <a:schemeClr val="lt1"/>
                </a:solidFill>
              </a:ln>
              <a:effectLst/>
            </c:spPr>
          </c:dPt>
          <c:dPt>
            <c:idx val="1"/>
            <c:bubble3D val="0"/>
            <c:spPr>
              <a:solidFill>
                <a:schemeClr val="accent2"/>
              </a:solidFill>
              <a:ln w="19050">
                <a:solidFill>
                  <a:schemeClr val="lt1"/>
                </a:solidFill>
              </a:ln>
              <a:effectLst/>
            </c:spPr>
          </c:dPt>
          <c:dPt>
            <c:idx val="2"/>
            <c:bubble3D val="0"/>
            <c:spPr>
              <a:solidFill>
                <a:schemeClr val="accent3"/>
              </a:solidFill>
              <a:ln w="19050">
                <a:solidFill>
                  <a:schemeClr val="lt1"/>
                </a:solidFill>
              </a:ln>
              <a:effectLst/>
            </c:spPr>
          </c:dPt>
          <c:dPt>
            <c:idx val="3"/>
            <c:bubble3D val="0"/>
            <c:spPr>
              <a:solidFill>
                <a:schemeClr val="accent4"/>
              </a:solidFill>
              <a:ln w="19050">
                <a:solidFill>
                  <a:schemeClr val="lt1"/>
                </a:solidFill>
              </a:ln>
              <a:effectLst/>
            </c:spPr>
          </c:dPt>
          <c:dLbls>
            <c:spPr>
              <a:noFill/>
              <a:ln>
                <a:noFill/>
              </a:ln>
              <a:effectLst/>
            </c:spPr>
            <c:txPr>
              <a:bodyPr rot="0" spcFirstLastPara="0" vertOverflow="ellipsis" vert="horz" wrap="square" lIns="38100" tIns="19050" rIns="38100" bIns="19050" anchor="ctr" anchorCtr="1"/>
              <a:lstStyle/>
              <a:p>
                <a:pPr>
                  <a:defRPr lang="zh-CN"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</a:p>
            </c:txPr>
            <c:dLblPos val="ctr"/>
            <c:showLegendKey val="0"/>
            <c:showVal val="1"/>
            <c:showCatName val="0"/>
            <c:showSerName val="0"/>
            <c:showPercent val="0"/>
            <c:showBubbleSize val="0"/>
            <c:showLeaderLines val="1"/>
            <c:extLst>
              <c:ext xmlns:c15="http://schemas.microsoft.com/office/drawing/2012/chart" uri="{CE6537A1-D6FC-4f65-9D91-7224C49458BB}">
                <c15:layout/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prstDash val="solid"/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'[综合执法-监管要素统计.xlsx]Sheet2'!$G$38:$G$41</c:f>
              <c:strCache>
                <c:ptCount val="4"/>
                <c:pt idx="0">
                  <c:v>予以公开</c:v>
                </c:pt>
                <c:pt idx="1">
                  <c:v>部分公开</c:v>
                </c:pt>
                <c:pt idx="2">
                  <c:v>无法提供</c:v>
                </c:pt>
                <c:pt idx="3">
                  <c:v>其他处理</c:v>
                </c:pt>
              </c:strCache>
            </c:strRef>
          </c:cat>
          <c:val>
            <c:numRef>
              <c:f>'[综合执法-监管要素统计.xlsx]Sheet2'!$H$38:$H$41</c:f>
              <c:numCache>
                <c:formatCode>General</c:formatCode>
                <c:ptCount val="4"/>
                <c:pt idx="0">
                  <c:v>1</c:v>
                </c:pt>
                <c:pt idx="1">
                  <c:v>2</c:v>
                </c:pt>
                <c:pt idx="2">
                  <c:v>2</c:v>
                </c:pt>
                <c:pt idx="3">
                  <c:v>1</c:v>
                </c:pt>
              </c:numCache>
            </c:numRef>
          </c:val>
        </c:ser>
        <c:dLbls>
          <c:showLegendKey val="0"/>
          <c:showVal val="1"/>
          <c:showCatName val="0"/>
          <c:showSerName val="0"/>
          <c:showPercent val="0"/>
          <c:showBubbleSize val="0"/>
          <c:showLeaderLines val="1"/>
        </c:dLbls>
        <c:firstSliceAng val="0"/>
      </c:pieChart>
      <c:spPr>
        <a:noFill/>
        <a:ln>
          <a:noFill/>
        </a:ln>
        <a:effectLst/>
      </c:spPr>
    </c:plotArea>
    <c:legend>
      <c:legendPos val="b"/>
      <c:legendEntry>
        <c:idx val="0"/>
        <c:txPr>
          <a:bodyPr rot="0" spcFirstLastPara="0" vertOverflow="ellipsis" vert="horz" wrap="square" anchor="ctr" anchorCtr="1"/>
          <a:lstStyle/>
          <a:p>
            <a:pPr>
              <a:defRPr lang="zh-CN" sz="900" b="0" i="0" u="none" strike="noStrike" kern="1200" cap="none" spc="0" normalizeH="0" baseline="0">
                <a:solidFill>
                  <a:schemeClr val="tx1"/>
                </a:solidFill>
                <a:uFill>
                  <a:solidFill>
                    <a:schemeClr val="tx1">
                      <a:lumMod val="65000"/>
                      <a:lumOff val="35000"/>
                    </a:schemeClr>
                  </a:solidFill>
                </a:uFill>
                <a:latin typeface="+mn-lt"/>
                <a:ea typeface="+mn-ea"/>
                <a:cs typeface="+mn-cs"/>
              </a:defRPr>
            </a:pPr>
          </a:p>
        </c:txPr>
      </c:legendEntry>
      <c:legendEntry>
        <c:idx val="1"/>
        <c:txPr>
          <a:bodyPr rot="0" spcFirstLastPara="0" vertOverflow="ellipsis" vert="horz" wrap="square" anchor="ctr" anchorCtr="1"/>
          <a:lstStyle/>
          <a:p>
            <a:pPr>
              <a:defRPr lang="zh-CN" sz="900" b="0" i="0" u="none" strike="noStrike" kern="1200" cap="none" spc="0" normalizeH="0" baseline="0">
                <a:solidFill>
                  <a:schemeClr val="tx1"/>
                </a:solidFill>
                <a:uFill>
                  <a:solidFill>
                    <a:schemeClr val="tx1">
                      <a:lumMod val="65000"/>
                      <a:lumOff val="35000"/>
                    </a:schemeClr>
                  </a:solidFill>
                </a:uFill>
                <a:latin typeface="+mn-lt"/>
                <a:ea typeface="+mn-ea"/>
                <a:cs typeface="+mn-cs"/>
              </a:defRPr>
            </a:pPr>
          </a:p>
        </c:txPr>
      </c:legendEntry>
      <c:legendEntry>
        <c:idx val="2"/>
        <c:txPr>
          <a:bodyPr rot="0" spcFirstLastPara="0" vertOverflow="ellipsis" vert="horz" wrap="square" anchor="ctr" anchorCtr="1"/>
          <a:lstStyle/>
          <a:p>
            <a:pPr>
              <a:defRPr lang="zh-CN" sz="900" b="0" i="0" u="none" strike="noStrike" kern="1200" cap="none" spc="0" normalizeH="0" baseline="0">
                <a:solidFill>
                  <a:schemeClr val="tx1"/>
                </a:solidFill>
                <a:uFill>
                  <a:solidFill>
                    <a:schemeClr val="tx1">
                      <a:lumMod val="65000"/>
                      <a:lumOff val="35000"/>
                    </a:schemeClr>
                  </a:solidFill>
                </a:uFill>
                <a:latin typeface="+mn-lt"/>
                <a:ea typeface="+mn-ea"/>
                <a:cs typeface="+mn-cs"/>
              </a:defRPr>
            </a:pPr>
          </a:p>
        </c:txPr>
      </c:legendEntry>
      <c:legendEntry>
        <c:idx val="3"/>
        <c:txPr>
          <a:bodyPr rot="0" spcFirstLastPara="0" vertOverflow="ellipsis" vert="horz" wrap="square" anchor="ctr" anchorCtr="1"/>
          <a:lstStyle/>
          <a:p>
            <a:pPr>
              <a:defRPr lang="zh-CN" sz="900" b="0" i="0" u="none" strike="noStrike" kern="1200" cap="none" spc="0" normalizeH="0" baseline="0">
                <a:solidFill>
                  <a:schemeClr val="tx1"/>
                </a:solidFill>
                <a:uFill>
                  <a:solidFill>
                    <a:schemeClr val="tx1">
                      <a:lumMod val="65000"/>
                      <a:lumOff val="35000"/>
                    </a:schemeClr>
                  </a:solidFill>
                </a:uFill>
                <a:latin typeface="+mn-lt"/>
                <a:ea typeface="+mn-ea"/>
                <a:cs typeface="+mn-cs"/>
              </a:defRPr>
            </a:pPr>
          </a:p>
        </c:txPr>
      </c:legendEntry>
      <c:layout/>
      <c:overlay val="0"/>
      <c:spPr>
        <a:noFill/>
        <a:ln>
          <a:noFill/>
        </a:ln>
        <a:effectLst/>
      </c:spPr>
      <c:txPr>
        <a:bodyPr rot="0" spcFirstLastPara="0" vertOverflow="ellipsis" vert="horz" wrap="square" anchor="ctr" anchorCtr="1"/>
        <a:lstStyle/>
        <a:p>
          <a:pPr>
            <a:defRPr lang="zh-CN" sz="900" b="0" i="0" u="none" strike="noStrike" kern="1200" cap="none" spc="0" normalizeH="0" baseline="0">
              <a:solidFill>
                <a:schemeClr val="tx1"/>
              </a:solidFill>
              <a:uFill>
                <a:solidFill>
                  <a:schemeClr val="tx1">
                    <a:lumMod val="65000"/>
                    <a:lumOff val="35000"/>
                  </a:schemeClr>
                </a:solidFill>
              </a:uFill>
              <a:latin typeface="+mn-lt"/>
              <a:ea typeface="+mn-ea"/>
              <a:cs typeface="+mn-cs"/>
            </a:defRPr>
          </a:pPr>
        </a:p>
      </c:txPr>
    </c:legend>
    <c:plotVisOnly val="1"/>
    <c:dispBlanksAs val="zero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prstDash val="solid"/>
      <a:round/>
    </a:ln>
    <a:effectLst/>
  </c:spPr>
  <c:txPr>
    <a:bodyPr/>
    <a:lstStyle/>
    <a:p>
      <a:pPr>
        <a:defRPr lang="zh-CN"/>
      </a:pPr>
    </a:p>
  </c:txPr>
  <c:externalData r:id="rId1">
    <c:autoUpdate val="0"/>
  </c:externalData>
</c:chartSpace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CCE8C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  <customShpExts>
    <customShpInfo spid="_x0000_s4097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8</Pages>
  <Words>476</Words>
  <Characters>2719</Characters>
  <Lines>22</Lines>
  <Paragraphs>6</Paragraphs>
  <TotalTime>10</TotalTime>
  <ScaleCrop>false</ScaleCrop>
  <LinksUpToDate>false</LinksUpToDate>
  <CharactersWithSpaces>3189</CharactersWithSpaces>
  <Application>WPS Office_10.8.2.6837_F1E327BC-269C-435d-A152-05C5408002CA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2021-09-03T07:57:00Z</dcterms:created>
  <dc:creator>qiyuanhua0168@163.com</dc:creator>
  <cp:lastModifiedBy>Administrator</cp:lastModifiedBy>
  <cp:lastPrinted>2021-12-06T01:42:00Z</cp:lastPrinted>
  <dcterms:modified xsi:type="dcterms:W3CDTF">2022-01-26T03:08:18Z</dcterms:modified>
  <cp:revision>31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2052-10.8.2.6837</vt:lpwstr>
  </property>
</Properties>
</file>