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06F3D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 w14:paraId="1FE5A13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威海临港经济技术开发区蔄山镇人民政府</w:t>
      </w:r>
    </w:p>
    <w:p w14:paraId="1C12B61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22136F3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宋体" w:hAnsi="宋体" w:eastAsia="方正小标宋_GBK" w:cs="方正小标宋_GBK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</w:p>
    <w:p w14:paraId="101B98B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</w:pPr>
      <w:r>
        <w:rPr>
          <w:rFonts w:hint="eastAsia" w:ascii="宋体" w:hAnsi="宋体" w:eastAsia="仿宋_GB2312" w:cs="Times New Roman"/>
          <w:color w:val="auto"/>
          <w:sz w:val="32"/>
          <w:szCs w:val="32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Times New Roman"/>
          <w:color w:val="auto"/>
          <w:sz w:val="32"/>
          <w:szCs w:val="32"/>
        </w:rPr>
        <w:t>年威海临港经济技术开发区蔄山镇人民政府信息公开工作实际，编制发布本报告。</w:t>
      </w:r>
    </w:p>
    <w:p w14:paraId="002D933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40" w:lineRule="exact"/>
        <w:ind w:left="0" w:firstLine="645"/>
        <w:jc w:val="both"/>
        <w:textAlignment w:val="auto"/>
        <w:rPr>
          <w:rFonts w:hint="default" w:ascii="宋体" w:hAnsi="宋体" w:cs="Times New Roman"/>
          <w:color w:val="auto"/>
          <w:sz w:val="32"/>
          <w:szCs w:val="32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宋体" w:hAnsi="宋体" w:cs="Times New Roman"/>
          <w:color w:val="auto"/>
          <w:sz w:val="32"/>
          <w:szCs w:val="32"/>
        </w:rPr>
        <w:t>202</w:t>
      </w:r>
      <w:r>
        <w:rPr>
          <w:rFonts w:hint="eastAsia" w:ascii="宋体" w:hAnsi="宋体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年</w:t>
      </w:r>
      <w:r>
        <w:rPr>
          <w:rFonts w:hint="default" w:ascii="宋体" w:hAnsi="宋体" w:cs="Times New Roman"/>
          <w:color w:val="auto"/>
          <w:sz w:val="32"/>
          <w:szCs w:val="32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月</w:t>
      </w:r>
      <w:r>
        <w:rPr>
          <w:rFonts w:hint="default" w:ascii="宋体" w:hAnsi="宋体" w:cs="Times New Roman"/>
          <w:color w:val="auto"/>
          <w:sz w:val="32"/>
          <w:szCs w:val="32"/>
        </w:rPr>
        <w:t>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日到</w:t>
      </w:r>
      <w:r>
        <w:rPr>
          <w:rFonts w:hint="default" w:ascii="宋体" w:hAnsi="宋体" w:cs="Times New Roman"/>
          <w:color w:val="auto"/>
          <w:sz w:val="32"/>
          <w:szCs w:val="32"/>
        </w:rPr>
        <w:t>12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月</w:t>
      </w:r>
      <w:r>
        <w:rPr>
          <w:rFonts w:hint="default" w:ascii="宋体" w:hAnsi="宋体" w:cs="Times New Roman"/>
          <w:color w:val="auto"/>
          <w:sz w:val="32"/>
          <w:szCs w:val="32"/>
        </w:rPr>
        <w:t>31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威海临港经济技术开发区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eastAsia="zh-CN"/>
        </w:rPr>
        <w:t>管委会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宋体" w:hAnsi="宋体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网址：http://www.wip.gov.cn/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威海临港经济技术开发区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蔄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山镇人民政府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威海临港经济技术开发区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蔄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山镇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正气路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1号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0631-8547066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）。</w:t>
      </w:r>
    </w:p>
    <w:p w14:paraId="378AB2D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一、总体情况</w:t>
      </w:r>
    </w:p>
    <w:p w14:paraId="7C84E0C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</w:rPr>
        <w:t>2025年，蔄山镇深入贯彻落实国家、省、市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关于政务公开工作的各项部署要求，坚持以公开为常态、不公开为例外，全面推进政府信息公开工作，不断提升政务公开的标准化、规范化水平，切实保障人民群众的知情权、参与权和监督权。</w:t>
      </w:r>
    </w:p>
    <w:p w14:paraId="7E16579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（一）主动公开</w:t>
      </w:r>
    </w:p>
    <w:p w14:paraId="5505669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</w:rPr>
        <w:t>蔄山镇人民政府持续深化政务公开工作，全年主动公开政府信息74条，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涵盖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政策法规、工作动态、财政预决算、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重点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民生项目等各类信息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同时，积极响应威海市关于提升基层治理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现代化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要求，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持续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优化完善了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网站栏目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内容，强化“政务新媒体矩阵”信息联动发布机制，切实提升政府信息的可获得性、时效性与实用性，为营造公开透明、便民利企的政务环境提供了有力保障。</w:t>
      </w:r>
    </w:p>
    <w:p w14:paraId="2B3EB44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default" w:ascii="楷体_GB2312" w:hAnsi="楷体_GB2312" w:eastAsia="楷体_GB2312" w:cs="楷体_GB2312"/>
          <w:color w:val="auto"/>
          <w:sz w:val="32"/>
          <w:szCs w:val="32"/>
        </w:rPr>
        <w:t>（二）依申请公开</w:t>
      </w:r>
    </w:p>
    <w:p w14:paraId="2A7F570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</w:rPr>
      </w:pPr>
      <w:r>
        <w:rPr>
          <w:rFonts w:hint="default" w:ascii="宋体" w:hAnsi="宋体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/>
          <w:lang w:val="en-US" w:eastAsia="zh-CN"/>
        </w:rPr>
        <w:t>2025年</w:t>
      </w:r>
      <w:r>
        <w:rPr>
          <w:rFonts w:hint="default" w:ascii="宋体" w:hAnsi="宋体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/>
        </w:rPr>
        <w:t>新收政府信息公开申请</w:t>
      </w:r>
      <w:r>
        <w:rPr>
          <w:rFonts w:hint="default" w:ascii="宋体" w:hAnsi="宋体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/>
          <w:lang w:val="en-US" w:eastAsia="zh-CN"/>
        </w:rPr>
        <w:t>2</w:t>
      </w:r>
      <w:r>
        <w:rPr>
          <w:rFonts w:hint="default" w:ascii="宋体" w:hAnsi="宋体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/>
        </w:rPr>
        <w:t>件，依法依规处理1件，1件结转至下一年度接续办理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，与202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年相比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增加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2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件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。</w:t>
      </w:r>
    </w:p>
    <w:p w14:paraId="52243E8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default" w:ascii="楷体_GB2312" w:hAnsi="楷体_GB2312" w:eastAsia="楷体_GB2312" w:cs="楷体_GB2312"/>
          <w:color w:val="auto"/>
          <w:sz w:val="32"/>
          <w:szCs w:val="32"/>
        </w:rPr>
        <w:t>（三）政府信息管理</w:t>
      </w:r>
    </w:p>
    <w:p w14:paraId="0834632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本年度，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蔄山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镇严格按照政务公开工作要点要求，持续强化政府信息管理。一是健全管理制度，修订完善《蔄山镇政府信息发布审核机制》及保密审查流程，落实分级审核责任，确保信息发布准确规范。二是实施分类管理，依托威海市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政府网站群平台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，对行政规范性文件、重点领域信息等实行专题归集与动态更新，提升信息整合效能。三是强化平台维护，定期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自查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网站栏目及政务新媒体运行情况，及时更新失效信息、调整内容布局，切实保障公开内容准确、运行稳定、访问畅通。通过系统化管理，有效提升了政府信息的规范性、系统性与安全性。</w:t>
      </w:r>
    </w:p>
    <w:p w14:paraId="3D3410F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default" w:ascii="楷体_GB2312" w:hAnsi="楷体_GB2312" w:eastAsia="楷体_GB2312" w:cs="楷体_GB2312"/>
          <w:color w:val="auto"/>
          <w:sz w:val="32"/>
          <w:szCs w:val="32"/>
        </w:rPr>
        <w:t>（四）政府信息公开平台建设</w:t>
      </w:r>
    </w:p>
    <w:p w14:paraId="11C26A5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</w:rPr>
        <w:t>坚持以“便民、高效、安全”为导向，持续优化政府信息公开主渠道。一是拓展政务新媒体矩阵，在现有微信公众号基础上，规范信息发布流程，强化政策解读与互动服务功能，全年通过新媒体发布信息</w:t>
      </w:r>
      <w:r>
        <w:rPr>
          <w:rFonts w:hint="eastAsia" w:ascii="宋体" w:hAnsi="宋体" w:eastAsia="仿宋_GB2312" w:cs="Times New Roman"/>
          <w:color w:val="auto"/>
          <w:sz w:val="32"/>
          <w:szCs w:val="32"/>
          <w:highlight w:val="none"/>
          <w:lang w:val="en-US" w:eastAsia="zh-CN"/>
        </w:rPr>
        <w:t>696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条。二是提升信息获取便利度，通过现有平台发布本级政务信息，主动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公开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查询路径与方法，方便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群众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获取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相关信息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。三是强化信息安全与运行保障机制，完善日常监测与应急响应措施，确保现有公开渠道稳定可靠、服务高效。</w:t>
      </w:r>
    </w:p>
    <w:p w14:paraId="2966DBA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default" w:ascii="楷体_GB2312" w:hAnsi="楷体_GB2312" w:eastAsia="楷体_GB2312" w:cs="楷体_GB2312"/>
          <w:color w:val="auto"/>
          <w:sz w:val="32"/>
          <w:szCs w:val="32"/>
        </w:rPr>
        <w:t>（五）监督保障</w:t>
      </w:r>
    </w:p>
    <w:p w14:paraId="78C5742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蔄山镇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将政府信息公开作为深化依法行政、优化营商环境的重要内容，列入年度重点工作任务并定期研究部署。明确由镇政府主要领导负总责，分管领导具体抓，党政办公室牵头协调，各职能部门分工落实的工作机制。主动公开监督举报渠道，自觉接受人大监督、社会监督和舆论监督，对收到的意见建议建立台账、限期反馈。通过健全的制度保障和严格的督查问责，推动我镇政府信息公开工作规范、有序、高效运行。</w:t>
      </w:r>
    </w:p>
    <w:p w14:paraId="56498E4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44CD8D6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7529728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5E05D3A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51DDBEA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76697B1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73A3B1B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68C6048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72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0"/>
        <w:gridCol w:w="2180"/>
        <w:gridCol w:w="2180"/>
        <w:gridCol w:w="2180"/>
      </w:tblGrid>
      <w:tr w14:paraId="7E627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87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2C1F0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2EB63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B98A2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AEF3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3A3C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B6F8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18BFC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97C8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B1F9B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8696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C26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FA6F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D26B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02210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BBF53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B17D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D4AB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87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2F4B9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4E929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FD6A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8597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31E89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893D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9D5B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6309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87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B2498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36E52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202F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5DAF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CA39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0955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397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D67B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E916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00A5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3132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87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7071F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65C9A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AB58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BF78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6D49E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2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66A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54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ADF7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167E27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宋体" w:hAnsi="宋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4"/>
        <w:gridCol w:w="13"/>
        <w:gridCol w:w="540"/>
        <w:gridCol w:w="540"/>
        <w:gridCol w:w="720"/>
        <w:gridCol w:w="675"/>
        <w:gridCol w:w="524"/>
        <w:gridCol w:w="702"/>
      </w:tblGrid>
      <w:tr w14:paraId="196723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E1C2D">
            <w:pPr>
              <w:widowControl/>
              <w:jc w:val="center"/>
              <w:rPr>
                <w:rFonts w:ascii="宋体" w:hAnsi="宋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4F56270F">
            <w:pPr>
              <w:widowControl/>
              <w:jc w:val="center"/>
              <w:rPr>
                <w:rFonts w:ascii="宋体" w:hAnsi="宋体" w:eastAsia="仿宋_GB2312"/>
                <w:color w:val="auto"/>
                <w:szCs w:val="21"/>
              </w:rPr>
            </w:pPr>
            <w:r>
              <w:rPr>
                <w:rFonts w:hint="eastAsia" w:ascii="宋体" w:hAnsi="宋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06E12">
            <w:pPr>
              <w:widowControl/>
              <w:spacing w:line="320" w:lineRule="exact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7C9715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4AD1A">
            <w:pPr>
              <w:jc w:val="center"/>
              <w:rPr>
                <w:rFonts w:ascii="宋体" w:hAnsi="宋体" w:eastAsia="仿宋_GB2312"/>
                <w:color w:val="auto"/>
                <w:szCs w:val="21"/>
              </w:rPr>
            </w:pPr>
          </w:p>
        </w:tc>
        <w:tc>
          <w:tcPr>
            <w:tcW w:w="747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D31B65">
            <w:pPr>
              <w:widowControl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2999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C7294">
            <w:pPr>
              <w:widowControl/>
              <w:spacing w:line="320" w:lineRule="exact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840A5">
            <w:pPr>
              <w:widowControl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355595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53D235">
            <w:pPr>
              <w:jc w:val="center"/>
              <w:rPr>
                <w:rFonts w:ascii="宋体" w:hAnsi="宋体" w:eastAsia="仿宋_GB2312"/>
                <w:color w:val="auto"/>
                <w:szCs w:val="21"/>
              </w:rPr>
            </w:pPr>
          </w:p>
        </w:tc>
        <w:tc>
          <w:tcPr>
            <w:tcW w:w="747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2CF81">
            <w:pPr>
              <w:jc w:val="center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035313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EFDFA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39F44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23F1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002EEE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8308D9">
            <w:pPr>
              <w:jc w:val="center"/>
              <w:rPr>
                <w:rFonts w:ascii="宋体" w:hAnsi="宋体" w:eastAsia="仿宋_GB2312"/>
                <w:color w:val="auto"/>
                <w:szCs w:val="21"/>
              </w:rPr>
            </w:pPr>
          </w:p>
        </w:tc>
      </w:tr>
      <w:tr w14:paraId="1E0CB9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CE124">
            <w:pPr>
              <w:widowControl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BD6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6516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F14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F29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489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2DD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2A7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11BE94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ECC7DC">
            <w:pPr>
              <w:widowControl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822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916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48C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DCD5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97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5D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04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D4CC4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392866">
            <w:pPr>
              <w:widowControl/>
              <w:spacing w:after="180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7BA457">
            <w:pPr>
              <w:widowControl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19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59A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066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B8A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835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E2A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FDA0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2D4736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4E0BD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D39FD2">
            <w:pPr>
              <w:widowControl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527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79B4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D1D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646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CFF1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D4F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491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38036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CC0B5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960B5">
            <w:pPr>
              <w:widowControl/>
              <w:spacing w:line="20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4848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4B73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844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598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9F9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392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319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3BA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F2CCF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58A8C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A39D5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731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3A3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42F3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B6D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8EF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1AF9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FD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937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B72046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4BF6F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6F846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6BE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1F67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5B9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C6C6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AAB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3EB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DF7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189A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3B344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4E31D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7663C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44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ED0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BAF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EE6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F8F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130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50F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DB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C8096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134C15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39E2E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0F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052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EC85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AE7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1CB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C88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02A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303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51C2F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ABFA6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DC23A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53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A7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581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D74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B69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3215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C11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C8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E2DDFD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AED66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C9C57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DE4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782E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CDD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2EA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D56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17F8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263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5329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9CB4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91CBEE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526360">
            <w:pPr>
              <w:spacing w:line="20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4C9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28B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CBA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436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B59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80DA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B29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BA2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FAB31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C4D27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440F7B">
            <w:pPr>
              <w:widowControl/>
              <w:spacing w:line="24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5F3EA">
            <w:pPr>
              <w:widowControl/>
              <w:spacing w:line="24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B93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CA0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10E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C1BF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5B4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AD28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EE2A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1C827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81968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62D5E8">
            <w:pPr>
              <w:spacing w:line="24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D9BF5B">
            <w:pPr>
              <w:widowControl/>
              <w:spacing w:line="24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C923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C84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549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EEAC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3441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5A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E982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BB5C1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DEE82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CF6D4">
            <w:pPr>
              <w:spacing w:line="24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BCCBF9">
            <w:pPr>
              <w:widowControl/>
              <w:spacing w:line="24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787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D90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74D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271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EF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9286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93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3D82E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ACEE7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1E99B2">
            <w:pPr>
              <w:widowControl/>
              <w:spacing w:line="240" w:lineRule="exact"/>
              <w:ind w:left="-107" w:leftChars="-51"/>
              <w:rPr>
                <w:rFonts w:ascii="宋体" w:hAnsi="宋体" w:eastAsia="黑体"/>
                <w:color w:val="auto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57859">
            <w:pPr>
              <w:widowControl/>
              <w:spacing w:line="24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F6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FDA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A2B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A8DD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21B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159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26B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A3894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0D420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42787">
            <w:pPr>
              <w:spacing w:line="24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40239">
            <w:pPr>
              <w:widowControl/>
              <w:spacing w:line="24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98E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D51C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B20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6F0C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A33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563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737E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7B793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CA4C1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16BCD">
            <w:pPr>
              <w:spacing w:line="24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48DF99">
            <w:pPr>
              <w:widowControl/>
              <w:spacing w:line="240" w:lineRule="exact"/>
              <w:rPr>
                <w:rFonts w:ascii="宋体" w:hAnsi="宋体" w:eastAsia="仿宋_GB2312"/>
                <w:color w:val="auto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529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DBD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4FC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27C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90CD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6FF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390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4120C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1BFB5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10E5A">
            <w:pPr>
              <w:spacing w:line="24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979AA">
            <w:pPr>
              <w:widowControl/>
              <w:spacing w:line="240" w:lineRule="exact"/>
              <w:rPr>
                <w:rFonts w:ascii="宋体" w:hAnsi="宋体" w:eastAsia="仿宋_GB2312"/>
                <w:color w:val="auto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E1DD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A42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EA0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CD86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F0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F0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94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7D570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6A2138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47C2D">
            <w:pPr>
              <w:spacing w:line="240" w:lineRule="exact"/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098A2">
            <w:pPr>
              <w:widowControl/>
              <w:spacing w:line="24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5588AAC8">
            <w:pPr>
              <w:widowControl/>
              <w:spacing w:line="240" w:lineRule="exact"/>
              <w:ind w:firstLine="210" w:firstLineChars="100"/>
              <w:rPr>
                <w:rFonts w:ascii="宋体" w:hAnsi="宋体" w:eastAsia="仿宋_GB2312"/>
                <w:color w:val="auto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B61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E3C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599B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0B8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7D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94F2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FF6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A47CC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3AF52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731B3">
            <w:pPr>
              <w:widowControl/>
              <w:spacing w:line="24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041389C">
            <w:pPr>
              <w:widowControl/>
              <w:spacing w:line="300" w:lineRule="exact"/>
              <w:rPr>
                <w:rFonts w:ascii="宋体" w:hAnsi="宋体" w:eastAsia="仿宋_GB2312"/>
                <w:color w:val="auto"/>
              </w:rPr>
            </w:pPr>
            <w:r>
              <w:rPr>
                <w:rFonts w:hint="eastAsia" w:ascii="宋体" w:hAnsi="宋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9EF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7FC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7EA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B1A6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72FC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7E6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566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D9DEC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2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BA383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02938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07068BF">
            <w:pPr>
              <w:widowControl/>
              <w:spacing w:line="3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6F7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1A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D1F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FDF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BF6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1910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9E6F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E9781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EDFA7A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851E2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7EF0EF9">
            <w:pPr>
              <w:widowControl/>
              <w:spacing w:line="300" w:lineRule="exact"/>
              <w:rPr>
                <w:rFonts w:ascii="宋体" w:hAnsi="宋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仿宋_GB2312"/>
                <w:color w:val="auto"/>
              </w:rPr>
              <w:t>3.其他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F95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171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B65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F1E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C969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92E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D7C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ED389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71731">
            <w:pPr>
              <w:rPr>
                <w:rFonts w:ascii="宋体" w:hAnsi="宋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93287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93D3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99FC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C90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8A6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B48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DC7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9EE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65B98B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5BF743">
            <w:pPr>
              <w:widowControl/>
              <w:spacing w:line="300" w:lineRule="exact"/>
              <w:rPr>
                <w:rFonts w:ascii="宋体" w:hAnsi="宋体" w:eastAsia="黑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6BC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53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00C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8A3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5E2D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A70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B12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011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</w:tbl>
    <w:p w14:paraId="787285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1A88A4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2D07D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28213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27E4C8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C35B10">
            <w:pPr>
              <w:widowControl/>
              <w:ind w:left="-149" w:leftChars="-71" w:right="-170" w:rightChars="-81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3BBC0048">
            <w:pPr>
              <w:widowControl/>
              <w:ind w:left="-149" w:leftChars="-71" w:right="-170" w:rightChars="-81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F4D2C">
            <w:pPr>
              <w:widowControl/>
              <w:ind w:left="-43" w:leftChars="-21" w:right="-132" w:rightChars="-63" w:hanging="1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F6141">
            <w:pPr>
              <w:widowControl/>
              <w:ind w:left="-82" w:leftChars="-39" w:right="-97" w:rightChars="-46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3529B3">
            <w:pPr>
              <w:widowControl/>
              <w:ind w:left="-118" w:leftChars="-56" w:right="-118" w:rightChars="-56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2B580A6A">
            <w:pPr>
              <w:widowControl/>
              <w:ind w:left="-118" w:leftChars="-56" w:right="-118" w:rightChars="-56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EF79C">
            <w:pPr>
              <w:widowControl/>
              <w:spacing w:line="320" w:lineRule="exact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总</w:t>
            </w:r>
          </w:p>
          <w:p w14:paraId="6B0519F4">
            <w:pPr>
              <w:widowControl/>
              <w:spacing w:line="320" w:lineRule="exact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A0071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267D94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bookmarkStart w:id="9" w:name="_Hlk67039688"/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2DC0A7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08890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E9155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D82AA4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4744E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76B51">
            <w:pPr>
              <w:rPr>
                <w:rFonts w:ascii="宋体" w:hAnsi="宋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E9B7E">
            <w:pPr>
              <w:widowControl/>
              <w:ind w:left="-105" w:leftChars="-50" w:right="-126" w:rightChars="-60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13559">
            <w:pPr>
              <w:widowControl/>
              <w:ind w:left="-86" w:leftChars="-41" w:right="-88" w:rightChars="-42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332D5">
            <w:pPr>
              <w:widowControl/>
              <w:ind w:left="-126" w:leftChars="-60" w:right="-136" w:rightChars="-65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51F6D32A">
            <w:pPr>
              <w:widowControl/>
              <w:ind w:left="-126" w:leftChars="-60" w:right="-136" w:rightChars="-65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69A7A">
            <w:pPr>
              <w:widowControl/>
              <w:ind w:left="-164" w:leftChars="-78" w:right="-153" w:rightChars="-73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47A674D2">
            <w:pPr>
              <w:widowControl/>
              <w:ind w:left="-164" w:leftChars="-78" w:right="-153" w:rightChars="-73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3E095B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9B38DE">
            <w:pPr>
              <w:widowControl/>
              <w:ind w:left="-99" w:leftChars="-47" w:right="-78" w:rightChars="-37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0DE79D">
            <w:pPr>
              <w:widowControl/>
              <w:ind w:left="-136" w:leftChars="-65" w:right="-124" w:rightChars="-59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62E1F5E5">
            <w:pPr>
              <w:widowControl/>
              <w:ind w:left="-136" w:leftChars="-65" w:right="-124" w:rightChars="-59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C5F9C">
            <w:pPr>
              <w:widowControl/>
              <w:ind w:left="-173" w:leftChars="-83" w:right="-134" w:rightChars="-64" w:hanging="1"/>
              <w:jc w:val="center"/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6C0CF059">
            <w:pPr>
              <w:widowControl/>
              <w:ind w:left="-173" w:leftChars="-83" w:right="-134" w:rightChars="-64" w:hanging="1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4F99E1">
            <w:pPr>
              <w:widowControl/>
              <w:ind w:left="-67" w:leftChars="-33" w:right="-105" w:rightChars="-50" w:hanging="2" w:hangingChars="1"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BA5FA">
            <w:pPr>
              <w:widowControl/>
              <w:jc w:val="center"/>
              <w:rPr>
                <w:rFonts w:ascii="宋体" w:hAnsi="宋体" w:eastAsia="黑体"/>
                <w:color w:val="auto"/>
              </w:rPr>
            </w:pPr>
            <w:r>
              <w:rPr>
                <w:rFonts w:ascii="宋体" w:hAnsi="宋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1D77BF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9DA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C18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2C2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BE6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41A3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D21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FA1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6E1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946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276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D0F0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4432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49AA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194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宋体" w:hAnsi="宋体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2C24C">
            <w:pPr>
              <w:widowControl/>
              <w:spacing w:after="180"/>
              <w:jc w:val="center"/>
              <w:rPr>
                <w:rFonts w:hint="eastAsia" w:ascii="宋体" w:hAnsi="宋体" w:eastAsiaTheme="minorEastAsia"/>
                <w:color w:val="auto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lang w:val="en-US" w:eastAsia="zh-CN"/>
              </w:rPr>
              <w:t>0</w:t>
            </w:r>
          </w:p>
        </w:tc>
      </w:tr>
    </w:tbl>
    <w:p w14:paraId="190F1E86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616EEBB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2025年，蔄山镇在认真落实国家、省、市关于政务公开工作部署要求过程中，主动对照高标准、严要求，深入检视工作实践，清醒认识到当前政务公开工作仍存在一些薄弱环节和改进空间。主要体现为：</w:t>
      </w:r>
    </w:p>
    <w:p w14:paraId="52C9CD6A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宋体" w:hAnsi="宋体" w:eastAsia="楷体_GB2312" w:cs="楷体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</w:pPr>
      <w:r>
        <w:rPr>
          <w:rFonts w:hint="eastAsia" w:ascii="宋体" w:hAnsi="宋体" w:eastAsia="楷体_GB2312" w:cs="楷体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（一）存在问题</w:t>
      </w:r>
    </w:p>
    <w:p w14:paraId="138C0E9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在2025年的政府信息公开工作中，蔄山镇对照上级要求与公众期待，各项工作稳步推进，但仍存在一些需要持续改进的不足之处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。一是</w:t>
      </w: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政务新媒体的协同效能发挥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不足</w:t>
      </w: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。虽建立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政府</w:t>
      </w: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网站、微信公众号、抖音账号等多元公开渠道，但各平台间的信息发布协同性、内容互补性有待加强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，</w:t>
      </w: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存在信息重复发布或平台特色内容不突出的情况。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二是</w:t>
      </w: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依申请公开服务的标准化水平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不</w:t>
      </w: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强。随着公众法治意识和信息需求的增长，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在</w:t>
      </w: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办理流程、常见问题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等方面</w:t>
      </w:r>
      <w:r>
        <w:rPr>
          <w:rFonts w:hint="default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的主动指引和答复模板的运用可以更加细致规范，以提升申请办理效率和申请人体验，减少因申请表述不清导致的沟通成本。</w:t>
      </w:r>
      <w:r>
        <w:rPr>
          <w:rFonts w:hint="eastAsia" w:ascii="宋体" w:hAnsi="宋体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三是重点领域信息公开深度有待提升。在财政资金使用、民生实事落实等关键领域，信息公开的内容与颗粒度仍需进一步细化，与社会公众的知情需求存在一定差距。</w:t>
      </w:r>
    </w:p>
    <w:p w14:paraId="5DE9178E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宋体" w:hAnsi="宋体" w:eastAsia="sans-serif" w:cs="sans-serif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宋体" w:hAnsi="宋体" w:eastAsia="楷体_GB2312" w:cs="楷体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（二）改进情况</w:t>
      </w:r>
    </w:p>
    <w:p w14:paraId="21D6B9E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</w:pP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鉴于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上述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不足，蔄山镇将着力以下几方面，持续推动政府信息公开工作提质增效</w:t>
      </w:r>
      <w:r>
        <w:rPr>
          <w:rFonts w:hint="eastAsia" w:ascii="宋体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eastAsia="zh-CN"/>
        </w:rPr>
        <w:t>。</w:t>
      </w:r>
    </w:p>
    <w:p w14:paraId="211DD12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一是强化平台统筹管理。完善信息发布源头管理制度，所有对外公开信息需经审核后，由指定部门通过信息发布平台向各公开渠道同步推送。建立定期核查机制，对各平台已发布信息定期进行核查，确保信息准确性与时效性。</w:t>
      </w:r>
    </w:p>
    <w:p w14:paraId="31DB270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二是加强专业能力建设。围绕依申请公开、新媒体运营、舆情应对等内容开展培训，提升工作人员的业务素养和履职能力，以适应新时期政务公开工作的新要求。</w:t>
      </w:r>
    </w:p>
    <w:p w14:paraId="684CAC9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三是深化重点领域公开。细化公开内容，围绕财政资金、民生服务等群众关切的重点领域，提升公开信息的完整性、颗粒度和可获取性，确保关键政务信息更全面、更透明地向社会公开。</w:t>
      </w:r>
    </w:p>
    <w:p w14:paraId="32C4FAC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宋体" w:hAnsi="宋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6A377AC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宋体" w:hAnsi="宋体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eastAsia="楷体_GB2312" w:cs="Times New Roman"/>
          <w:color w:val="auto"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宋体" w:hAnsi="宋体" w:eastAsia="楷体_GB2312" w:cs="Times New Roman"/>
          <w:color w:val="auto"/>
          <w:sz w:val="32"/>
          <w:szCs w:val="32"/>
        </w:rPr>
        <w:t>政府信息公开</w:t>
      </w:r>
      <w:r>
        <w:rPr>
          <w:rFonts w:hint="default" w:ascii="宋体" w:hAnsi="宋体" w:eastAsia="楷体_GB2312" w:cs="Times New Roman"/>
          <w:color w:val="auto"/>
          <w:sz w:val="32"/>
          <w:szCs w:val="32"/>
          <w:highlight w:val="none"/>
        </w:rPr>
        <w:t>收费方面</w:t>
      </w:r>
      <w:r>
        <w:rPr>
          <w:rFonts w:hint="default" w:ascii="宋体" w:hAnsi="宋体" w:eastAsia="楷体_GB2312" w:cs="Times New Roman"/>
          <w:color w:val="auto"/>
          <w:sz w:val="32"/>
          <w:szCs w:val="32"/>
        </w:rPr>
        <w:t>：</w:t>
      </w:r>
      <w:r>
        <w:rPr>
          <w:rFonts w:hint="default" w:ascii="宋体" w:hAnsi="宋体" w:cs="Times New Roman"/>
          <w:color w:val="auto"/>
          <w:sz w:val="32"/>
          <w:szCs w:val="32"/>
        </w:rPr>
        <w:t>202</w:t>
      </w:r>
      <w:r>
        <w:rPr>
          <w:rFonts w:hint="eastAsia" w:ascii="宋体" w:hAnsi="宋体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年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蔄山镇</w:t>
      </w:r>
      <w:r>
        <w:rPr>
          <w:rFonts w:hint="default" w:ascii="宋体" w:hAnsi="宋体" w:eastAsia="仿宋_GB2312" w:cs="Times New Roman"/>
          <w:color w:val="auto"/>
          <w:sz w:val="32"/>
          <w:szCs w:val="32"/>
        </w:rPr>
        <w:t>未收取政府信息公开信息处理费。</w:t>
      </w:r>
    </w:p>
    <w:p w14:paraId="297BBA7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宋体" w:hAnsi="宋体" w:cs="Times New Roman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（二）</w:t>
      </w:r>
      <w:r>
        <w:rPr>
          <w:rFonts w:hint="default" w:ascii="宋体" w:hAnsi="宋体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人</w:t>
      </w:r>
      <w:r>
        <w:rPr>
          <w:rFonts w:hint="default" w:ascii="宋体" w:hAnsi="宋体" w:eastAsia="楷体_GB2312" w:cs="Times New Roman"/>
          <w:color w:val="auto"/>
          <w:sz w:val="32"/>
          <w:szCs w:val="32"/>
          <w:highlight w:val="none"/>
        </w:rPr>
        <w:t>大代表、政协委员提案办理方面：</w:t>
      </w:r>
      <w:r>
        <w:rPr>
          <w:rFonts w:hint="default" w:ascii="宋体" w:hAnsi="宋体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宋体" w:hAnsi="宋体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宋体" w:hAnsi="宋体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宋体" w:hAnsi="宋体" w:eastAsia="仿宋_GB2312" w:cs="Times New Roman"/>
          <w:color w:val="auto"/>
          <w:sz w:val="32"/>
          <w:szCs w:val="32"/>
          <w:highlight w:val="none"/>
          <w:lang w:val="en-US" w:eastAsia="zh-CN"/>
        </w:rPr>
        <w:t>蔄山镇</w:t>
      </w:r>
      <w:r>
        <w:rPr>
          <w:rFonts w:hint="eastAsia" w:ascii="宋体" w:hAnsi="宋体" w:eastAsia="仿宋_GB2312" w:cs="Times New Roman"/>
          <w:color w:val="auto"/>
          <w:sz w:val="32"/>
          <w:szCs w:val="32"/>
          <w:highlight w:val="none"/>
          <w:lang w:eastAsia="zh-CN"/>
        </w:rPr>
        <w:t>未</w:t>
      </w:r>
      <w:r>
        <w:rPr>
          <w:rFonts w:hint="default" w:ascii="宋体" w:hAnsi="宋体" w:eastAsia="仿宋_GB2312" w:cs="Times New Roman"/>
          <w:color w:val="auto"/>
          <w:sz w:val="32"/>
          <w:szCs w:val="32"/>
          <w:highlight w:val="none"/>
        </w:rPr>
        <w:t>承办市人大代表建议、政协提案。</w:t>
      </w:r>
    </w:p>
    <w:p w14:paraId="7B7CAE02">
      <w:pPr>
        <w:pStyle w:val="2"/>
        <w:ind w:firstLine="640" w:firstLineChars="200"/>
        <w:rPr>
          <w:rFonts w:hint="eastAsia" w:ascii="宋体" w:hAnsi="宋体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宋体" w:hAnsi="宋体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（三）政务公开工作要点落实情况</w:t>
      </w:r>
      <w:r>
        <w:rPr>
          <w:rFonts w:hint="default" w:ascii="宋体" w:hAnsi="宋体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：</w:t>
      </w:r>
      <w:r>
        <w:rPr>
          <w:rFonts w:hint="eastAsia" w:ascii="宋体" w:hAnsi="宋体" w:eastAsia="仿宋_GB2312" w:cs="Times New Roman"/>
          <w:color w:val="auto"/>
          <w:sz w:val="32"/>
          <w:szCs w:val="32"/>
          <w:highlight w:val="none"/>
          <w:lang w:val="en-US" w:eastAsia="zh-CN"/>
        </w:rPr>
        <w:t>2025年，蔄山镇严格遵循上级政务公开工作部署，紧扣年度要点，系统推进各项任务，持续拓展多元化的信息公开渠道，不断完善政务公开体系。在巩固工作成效的基础上，着力提升公共服务质量，切实增强服务群众的实效性和精准性。</w:t>
      </w:r>
    </w:p>
    <w:p w14:paraId="06CA44AF">
      <w:pPr>
        <w:autoSpaceDE/>
        <w:autoSpaceDN/>
        <w:adjustRightInd/>
        <w:ind w:firstLine="646" w:firstLineChars="202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（四）创新工作开展情况：</w:t>
      </w:r>
      <w:r>
        <w:rPr>
          <w:rFonts w:hint="eastAsia" w:ascii="宋体" w:hAnsi="宋体" w:eastAsia="仿宋_GB2312" w:cs="Times New Roman"/>
          <w:color w:val="auto"/>
          <w:sz w:val="32"/>
          <w:szCs w:val="32"/>
          <w:highlight w:val="none"/>
          <w:lang w:val="en-US" w:eastAsia="zh-CN"/>
        </w:rPr>
        <w:t>2025年，蔄山镇</w:t>
      </w:r>
      <w:r>
        <w:rPr>
          <w:rFonts w:hint="eastAsia" w:ascii="宋体" w:hAnsi="宋体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探索建立“政务公开+网格服务”融合机制。依托基层网格化管理体系，将办事指南、民生服务等政务信息嵌入网格员日常走访与服务流程，通过“点对点”推送、“面对面”讲解，推动政务公开向基层末梢延伸，有效提升信息传递精准度。</w:t>
      </w:r>
    </w:p>
    <w:sectPr>
      <w:pgSz w:w="11906" w:h="16838"/>
      <w:pgMar w:top="1701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06F51A7-A5A1-42E0-91CD-66E2D4C5308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D2E36045-1E36-4333-BF1A-44ACD6932E6F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D5417ACF-BF67-4BDE-AE73-9712108C9EA5}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CE67799A-64C9-4F35-881A-34128762D3C9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5" w:fontKey="{2DF267D2-F04C-4ECA-9C6E-1B9957661FF6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6" w:fontKey="{E78C3F6C-0DE9-48CD-828D-99EBC58507F6}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7" w:fontKey="{3221F973-8F0E-4DB8-9060-C2AD6B9B5EEE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E40880"/>
    <w:rsid w:val="03237D85"/>
    <w:rsid w:val="04A647CA"/>
    <w:rsid w:val="08D157AC"/>
    <w:rsid w:val="09D26061"/>
    <w:rsid w:val="0B3056C1"/>
    <w:rsid w:val="0CD22DAD"/>
    <w:rsid w:val="0CE35F96"/>
    <w:rsid w:val="0D4F5989"/>
    <w:rsid w:val="0EAC37F7"/>
    <w:rsid w:val="0FEB1DCC"/>
    <w:rsid w:val="11AF18C8"/>
    <w:rsid w:val="11F33019"/>
    <w:rsid w:val="132E2DE5"/>
    <w:rsid w:val="14B36B99"/>
    <w:rsid w:val="17286D05"/>
    <w:rsid w:val="18F83704"/>
    <w:rsid w:val="1A6A77C7"/>
    <w:rsid w:val="1BC34964"/>
    <w:rsid w:val="1BD16902"/>
    <w:rsid w:val="1F996FAD"/>
    <w:rsid w:val="1FA171CD"/>
    <w:rsid w:val="21E9640B"/>
    <w:rsid w:val="22356B42"/>
    <w:rsid w:val="2883323E"/>
    <w:rsid w:val="29045B41"/>
    <w:rsid w:val="2C7642D0"/>
    <w:rsid w:val="2DDA3736"/>
    <w:rsid w:val="2EC03C89"/>
    <w:rsid w:val="2F7161E5"/>
    <w:rsid w:val="30FA1876"/>
    <w:rsid w:val="32EF792F"/>
    <w:rsid w:val="33F73CD2"/>
    <w:rsid w:val="340B78F6"/>
    <w:rsid w:val="35FA5E74"/>
    <w:rsid w:val="371F3D0E"/>
    <w:rsid w:val="3885236D"/>
    <w:rsid w:val="38F616DC"/>
    <w:rsid w:val="38FB2168"/>
    <w:rsid w:val="38FE1440"/>
    <w:rsid w:val="397336CF"/>
    <w:rsid w:val="3A057FF5"/>
    <w:rsid w:val="3D4F6EA1"/>
    <w:rsid w:val="3DAA330F"/>
    <w:rsid w:val="3F4D36F2"/>
    <w:rsid w:val="429F7F6B"/>
    <w:rsid w:val="42C41DA5"/>
    <w:rsid w:val="42F75C15"/>
    <w:rsid w:val="452B46AD"/>
    <w:rsid w:val="464F74E8"/>
    <w:rsid w:val="471A6C91"/>
    <w:rsid w:val="4B6D150C"/>
    <w:rsid w:val="4BE17463"/>
    <w:rsid w:val="4D503746"/>
    <w:rsid w:val="4E9764FE"/>
    <w:rsid w:val="4FB103B3"/>
    <w:rsid w:val="4FE85264"/>
    <w:rsid w:val="501375F8"/>
    <w:rsid w:val="511E6463"/>
    <w:rsid w:val="54F23AC6"/>
    <w:rsid w:val="56F344A5"/>
    <w:rsid w:val="580F7106"/>
    <w:rsid w:val="5A4A08C9"/>
    <w:rsid w:val="5E4A2283"/>
    <w:rsid w:val="5F24793A"/>
    <w:rsid w:val="60C038A8"/>
    <w:rsid w:val="616917C6"/>
    <w:rsid w:val="67AE5211"/>
    <w:rsid w:val="68C9088B"/>
    <w:rsid w:val="6C7C7FF0"/>
    <w:rsid w:val="715E6CDC"/>
    <w:rsid w:val="74C57072"/>
    <w:rsid w:val="75A86CC7"/>
    <w:rsid w:val="77181135"/>
    <w:rsid w:val="77927421"/>
    <w:rsid w:val="77C63B42"/>
    <w:rsid w:val="77FC60DA"/>
    <w:rsid w:val="79D52F39"/>
    <w:rsid w:val="7ADD5115"/>
    <w:rsid w:val="7D4F211A"/>
    <w:rsid w:val="7E2277F5"/>
    <w:rsid w:val="7E3A115E"/>
    <w:rsid w:val="7F75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089ed4cc-50aa-49ac-a1c3-78bbb7dc5c6b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5041389C</paraID>
      <start>22</start>
      <end>24</end>
      <status>unmodified</status>
      <modifiedWord/>
      <trackRevisions>false</trackRevisions>
    </reviewItem>
    <reviewItem>
      <errorID>daf66d34-97ed-4f99-b5f6-bed0dca5f0ff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607068BF</paraID>
      <start>26</start>
      <end>28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675e964e-949e-403b-bcd6-f0ac47c38c9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3292</Words>
  <Characters>3390</Characters>
  <Lines>0</Lines>
  <Paragraphs>0</Paragraphs>
  <TotalTime>40</TotalTime>
  <ScaleCrop>false</ScaleCrop>
  <LinksUpToDate>false</LinksUpToDate>
  <CharactersWithSpaces>3390</CharactersWithSpaces>
  <Application>WPS Office_12.1.0.25186_F1E327BC-269C-435d-A152-05C5408002CA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王彦骅</cp:lastModifiedBy>
  <cp:lastPrinted>2023-01-16T09:08:00Z</cp:lastPrinted>
  <dcterms:modified xsi:type="dcterms:W3CDTF">2026-01-29T07:17:11Z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2052-12.1.0.25186</vt:lpwstr>
  </property>
  <property fmtid="{D5CDD505-2E9C-101B-9397-08002B2CF9AE}" pid="3" name="ICV">
    <vt:lpwstr>DDA06F6507A44812B8821464A3A88D6A_13</vt:lpwstr>
  </property>
  <property fmtid="{D5CDD505-2E9C-101B-9397-08002B2CF9AE}" pid="4" name="KSOTemplateDocerSaveRecord">
    <vt:lpwstr>eyJoZGlkIjoiMjQ5YTEyOGVjMGU3Njg2ZDYwNGFiMDc5ZDljMTJlZDMiLCJ1c2VySWQiOiI0OTkxODIxNzQifQ==</vt:lpwstr>
  </property>
</Properties>
</file>