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hint="eastAsia" w:ascii="方正小标宋_GBK" w:hAnsi="方正小标宋_GBK" w:eastAsia="方正小标宋_GBK" w:cs="方正小标宋_GBK"/>
          <w:color w:val="000000"/>
          <w:sz w:val="44"/>
          <w:szCs w:val="44"/>
        </w:rPr>
      </w:pPr>
      <w:r>
        <w:rPr>
          <w:rStyle w:val="6"/>
          <w:rFonts w:ascii="Times New Roman" w:hAnsi="Times New Roman" w:eastAsia="方正小标宋_GBK" w:cs="Times New Roman"/>
          <w:bCs/>
          <w:color w:val="auto"/>
          <w:sz w:val="44"/>
          <w:szCs w:val="44"/>
        </w:rPr>
        <w:t>关于</w:t>
      </w:r>
      <w:r>
        <w:rPr>
          <w:rFonts w:hint="eastAsia" w:ascii="方正小标宋_GBK" w:hAnsi="方正小标宋_GBK" w:eastAsia="方正小标宋_GBK" w:cs="方正小标宋_GBK"/>
          <w:color w:val="000000"/>
          <w:sz w:val="44"/>
          <w:szCs w:val="44"/>
          <w:lang w:eastAsia="zh-CN"/>
        </w:rPr>
        <w:t>《</w:t>
      </w:r>
      <w:r>
        <w:rPr>
          <w:rFonts w:hint="eastAsia" w:ascii="方正小标宋_GBK" w:hAnsi="方正小标宋_GBK" w:eastAsia="方正小标宋_GBK" w:cs="方正小标宋_GBK"/>
          <w:color w:val="000000"/>
          <w:sz w:val="44"/>
          <w:szCs w:val="44"/>
        </w:rPr>
        <w:t>碳纤维复合材料工程技术人才职称</w:t>
      </w:r>
      <w:r>
        <w:rPr>
          <w:rFonts w:hint="eastAsia" w:ascii="方正小标宋_GBK" w:hAnsi="方正小标宋_GBK" w:eastAsia="方正小标宋_GBK" w:cs="方正小标宋_GBK"/>
          <w:color w:val="000000"/>
          <w:sz w:val="44"/>
          <w:szCs w:val="44"/>
          <w:lang w:eastAsia="zh-CN"/>
        </w:rPr>
        <w:t>评审实施意见》的起草说明</w:t>
      </w:r>
    </w:p>
    <w:p>
      <w:pPr>
        <w:snapToGrid w:val="0"/>
        <w:spacing w:line="600" w:lineRule="exact"/>
        <w:contextualSpacing/>
        <w:jc w:val="both"/>
        <w:rPr>
          <w:rFonts w:ascii="Times New Roman" w:hAnsi="Times New Roman" w:eastAsia="仿宋_GB2312" w:cs="Times New Roman"/>
          <w:bCs/>
          <w:sz w:val="32"/>
          <w:szCs w:val="32"/>
        </w:rPr>
      </w:pPr>
    </w:p>
    <w:p>
      <w:pPr>
        <w:spacing w:line="60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一、起草背景</w:t>
      </w:r>
    </w:p>
    <w:p>
      <w:pPr>
        <w:spacing w:line="560" w:lineRule="exact"/>
        <w:ind w:firstLine="640" w:firstLineChars="200"/>
        <w:rPr>
          <w:rFonts w:hint="eastAsia" w:ascii="宋体" w:hAnsi="宋体" w:eastAsia="仿宋_GB2312" w:cs="仿宋_GB2312"/>
          <w:color w:val="000000"/>
          <w:sz w:val="32"/>
          <w:szCs w:val="32"/>
          <w:lang w:eastAsia="zh-CN"/>
        </w:rPr>
      </w:pPr>
      <w:r>
        <w:rPr>
          <w:rFonts w:hint="eastAsia" w:ascii="宋体" w:hAnsi="宋体" w:eastAsia="仿宋_GB2312" w:cs="仿宋_GB2312"/>
          <w:color w:val="000000"/>
          <w:sz w:val="32"/>
          <w:szCs w:val="32"/>
          <w:lang w:val="en-US" w:eastAsia="zh-CN"/>
        </w:rPr>
        <w:t>根据</w:t>
      </w:r>
      <w:r>
        <w:rPr>
          <w:rFonts w:hint="eastAsia" w:ascii="宋体" w:hAnsi="宋体" w:eastAsia="仿宋_GB2312" w:cs="仿宋_GB2312"/>
          <w:color w:val="000000"/>
          <w:sz w:val="32"/>
          <w:szCs w:val="32"/>
          <w:lang w:eastAsia="zh-CN"/>
        </w:rPr>
        <w:t>省人社厅《关于同意东营威海开展开发区特色专业职称工作的批复》（鲁人社函〔20</w:t>
      </w:r>
      <w:r>
        <w:rPr>
          <w:rFonts w:hint="eastAsia" w:ascii="宋体" w:hAnsi="宋体" w:eastAsia="仿宋_GB2312" w:cs="仿宋_GB2312"/>
          <w:color w:val="000000"/>
          <w:sz w:val="32"/>
          <w:szCs w:val="32"/>
          <w:lang w:val="en-US" w:eastAsia="zh-CN"/>
        </w:rPr>
        <w:t>20</w:t>
      </w:r>
      <w:r>
        <w:rPr>
          <w:rFonts w:hint="eastAsia" w:ascii="宋体" w:hAnsi="宋体" w:eastAsia="仿宋_GB2312" w:cs="仿宋_GB2312"/>
          <w:color w:val="000000"/>
          <w:sz w:val="32"/>
          <w:szCs w:val="32"/>
          <w:lang w:eastAsia="zh-CN"/>
        </w:rPr>
        <w:t>〕</w:t>
      </w:r>
      <w:r>
        <w:rPr>
          <w:rFonts w:hint="eastAsia" w:ascii="宋体" w:hAnsi="宋体" w:eastAsia="仿宋_GB2312" w:cs="仿宋_GB2312"/>
          <w:color w:val="000000"/>
          <w:sz w:val="32"/>
          <w:szCs w:val="32"/>
          <w:lang w:val="en-US" w:eastAsia="zh-CN"/>
        </w:rPr>
        <w:t>72</w:t>
      </w:r>
      <w:r>
        <w:rPr>
          <w:rFonts w:hint="eastAsia" w:ascii="宋体" w:hAnsi="宋体" w:eastAsia="仿宋_GB2312" w:cs="仿宋_GB2312"/>
          <w:color w:val="000000"/>
          <w:sz w:val="32"/>
          <w:szCs w:val="32"/>
          <w:lang w:eastAsia="zh-CN"/>
        </w:rPr>
        <w:t>号）要求，科技创新局于</w:t>
      </w:r>
      <w:r>
        <w:rPr>
          <w:rFonts w:hint="eastAsia" w:ascii="宋体" w:hAnsi="宋体" w:eastAsia="仿宋_GB2312" w:cs="仿宋_GB2312"/>
          <w:color w:val="000000"/>
          <w:sz w:val="32"/>
          <w:szCs w:val="32"/>
          <w:lang w:val="en-US" w:eastAsia="zh-CN"/>
        </w:rPr>
        <w:t>2021年</w:t>
      </w:r>
      <w:r>
        <w:rPr>
          <w:rFonts w:hint="eastAsia" w:ascii="宋体" w:hAnsi="宋体" w:eastAsia="仿宋_GB2312" w:cs="仿宋_GB2312"/>
          <w:color w:val="000000"/>
          <w:sz w:val="32"/>
          <w:szCs w:val="32"/>
          <w:lang w:eastAsia="zh-CN"/>
        </w:rPr>
        <w:t>起草《威海临港经济技术开发区关于印发</w:t>
      </w:r>
      <w:r>
        <w:rPr>
          <w:rFonts w:hint="eastAsia" w:ascii="宋体" w:hAnsi="宋体" w:eastAsia="仿宋_GB2312" w:cs="仿宋_GB2312"/>
          <w:color w:val="000000"/>
          <w:sz w:val="32"/>
          <w:szCs w:val="32"/>
          <w:lang w:val="en-US" w:eastAsia="zh-CN"/>
        </w:rPr>
        <w:t>&lt;</w:t>
      </w:r>
      <w:r>
        <w:rPr>
          <w:rFonts w:hint="eastAsia" w:ascii="宋体" w:hAnsi="宋体" w:eastAsia="仿宋_GB2312" w:cs="仿宋_GB2312"/>
          <w:color w:val="000000"/>
          <w:sz w:val="32"/>
          <w:szCs w:val="32"/>
          <w:lang w:eastAsia="zh-CN"/>
        </w:rPr>
        <w:t>碳纤维复合材料工程技术人才职称评审实施意见》的通知》（以下简称《实施意见》），为碳纤维复合材料工程技术人才职称评审工作提供评价标准，</w:t>
      </w:r>
      <w:r>
        <w:rPr>
          <w:rFonts w:hint="default" w:ascii="宋体" w:hAnsi="宋体" w:eastAsia="仿宋_GB2312" w:cs="仿宋_GB2312"/>
          <w:color w:val="000000"/>
          <w:sz w:val="32"/>
          <w:szCs w:val="32"/>
          <w:lang w:eastAsia="zh-CN"/>
        </w:rPr>
        <w:t>因</w:t>
      </w:r>
      <w:r>
        <w:rPr>
          <w:rFonts w:hint="eastAsia" w:ascii="宋体" w:hAnsi="宋体" w:eastAsia="仿宋_GB2312" w:cs="仿宋_GB2312"/>
          <w:color w:val="000000"/>
          <w:sz w:val="32"/>
          <w:szCs w:val="32"/>
          <w:lang w:eastAsia="zh-CN"/>
        </w:rPr>
        <w:t>试行版本</w:t>
      </w:r>
      <w:r>
        <w:rPr>
          <w:rFonts w:hint="default" w:ascii="宋体" w:hAnsi="宋体" w:eastAsia="仿宋_GB2312" w:cs="仿宋_GB2312"/>
          <w:color w:val="000000"/>
          <w:sz w:val="32"/>
          <w:szCs w:val="32"/>
          <w:lang w:eastAsia="zh-CN"/>
        </w:rPr>
        <w:t>将于2023年9月到期</w:t>
      </w:r>
      <w:r>
        <w:rPr>
          <w:rFonts w:hint="eastAsia" w:ascii="宋体" w:hAnsi="宋体" w:eastAsia="仿宋_GB2312" w:cs="仿宋_GB2312"/>
          <w:color w:val="000000"/>
          <w:sz w:val="32"/>
          <w:szCs w:val="32"/>
          <w:lang w:eastAsia="zh-CN"/>
        </w:rPr>
        <w:t>，根据省人社厅的要求，结合近两年工作实际，区科技创新局于</w:t>
      </w:r>
      <w:r>
        <w:rPr>
          <w:rFonts w:hint="eastAsia" w:ascii="宋体" w:hAnsi="宋体" w:eastAsia="仿宋_GB2312" w:cs="仿宋_GB2312"/>
          <w:color w:val="000000"/>
          <w:sz w:val="32"/>
          <w:szCs w:val="32"/>
          <w:lang w:val="en-US" w:eastAsia="zh-CN"/>
        </w:rPr>
        <w:t>2023</w:t>
      </w:r>
      <w:r>
        <w:rPr>
          <w:rFonts w:hint="eastAsia" w:ascii="宋体" w:hAnsi="宋体" w:eastAsia="仿宋_GB2312" w:cs="仿宋_GB2312"/>
          <w:color w:val="000000"/>
          <w:sz w:val="32"/>
          <w:szCs w:val="32"/>
          <w:lang w:eastAsia="zh-CN"/>
        </w:rPr>
        <w:t>年对《实施意见》进行了修订，进一步健全高层次人才服务保障机制，提升服务人才水平。</w:t>
      </w:r>
    </w:p>
    <w:p>
      <w:pPr>
        <w:spacing w:line="600" w:lineRule="exact"/>
        <w:ind w:firstLine="640" w:firstLineChars="200"/>
        <w:rPr>
          <w:rFonts w:ascii="Times New Roman" w:hAnsi="Times New Roman" w:eastAsia="黑体" w:cs="Times New Roman"/>
          <w:sz w:val="32"/>
          <w:szCs w:val="32"/>
        </w:rPr>
      </w:pPr>
      <w:r>
        <w:rPr>
          <w:rFonts w:hint="eastAsia" w:ascii="Times New Roman" w:hAnsi="Times New Roman" w:eastAsia="黑体" w:cs="Times New Roman"/>
          <w:sz w:val="32"/>
          <w:szCs w:val="32"/>
        </w:rPr>
        <w:t>二</w:t>
      </w:r>
      <w:r>
        <w:rPr>
          <w:rFonts w:ascii="Times New Roman" w:hAnsi="Times New Roman" w:eastAsia="黑体" w:cs="Times New Roman"/>
          <w:sz w:val="32"/>
          <w:szCs w:val="32"/>
        </w:rPr>
        <w:t>、主要内容</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rPr>
        <w:t>《</w:t>
      </w:r>
      <w:r>
        <w:rPr>
          <w:rFonts w:hint="eastAsia" w:ascii="宋体" w:hAnsi="宋体" w:eastAsia="仿宋_GB2312" w:cs="仿宋_GB2312"/>
          <w:color w:val="000000"/>
          <w:sz w:val="32"/>
          <w:szCs w:val="32"/>
          <w:lang w:val="en-US" w:eastAsia="zh-CN"/>
        </w:rPr>
        <w:t>实施意见》包括正文和附件两部分，其中正文有四方面内容，分别从指导思想、基本原则、主要内容、其他要求四个方面对整个评审过程进行说明。</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一）指导思想。该部分主要是全面贯彻落实党的二十大精神，坚持以习近平新时代中国特色社会主义思想为指导，围绕实施人才强国战略和创新驱动发展战略，加速碳纤维复合材料工程技术人才的成长和集聚，全力推动碳纤维复合材料制造领域人才建设。</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二）基本原则。碳纤维复合材料工程技术人才的评价要坚持德才兼备、以德为先，遵循碳纤维复合材料工程技术人才的专业特征和成长规律，以品德、能力、业绩为导向，逐步形成一套科学、合理、客观、公正的碳纤维复合材料工程技术人才职称评价体系。</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三）主要内容。主要从评审范围、评审机构、评审程序进行说明。评审范围规定全省各类企事业从事碳纤维及其复合材料相关工作的专业技术人员都可以参评；评审机构确定威海临港经济技术开发区科技创新局作为组建单位，组建威海临港经济技术开发区碳纤维复合材料工程技术职务资格评审委员会，负责碳纤维复合材料工程各级别职称评审；评审程序从个人申报、单位审核、主管部门审核、评审委员会组建单位审核、评委会评审、结果公示、证书发放各方面明确了流程。</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（四）其他要求。对评委会组建单位从职称评价方式、职称服务方式和职称评审监督三个方面做了要求。</w:t>
      </w:r>
    </w:p>
    <w:p>
      <w:pPr>
        <w:spacing w:line="560" w:lineRule="exact"/>
        <w:ind w:firstLine="640" w:firstLineChars="200"/>
        <w:rPr>
          <w:rFonts w:hint="eastAsia" w:ascii="宋体" w:hAnsi="宋体" w:eastAsia="仿宋_GB2312" w:cs="仿宋_GB2312"/>
          <w:color w:val="000000"/>
          <w:sz w:val="32"/>
          <w:szCs w:val="32"/>
          <w:lang w:val="en-US" w:eastAsia="zh-CN"/>
        </w:rPr>
      </w:pPr>
      <w:r>
        <w:rPr>
          <w:rFonts w:hint="eastAsia" w:ascii="宋体" w:hAnsi="宋体" w:eastAsia="仿宋_GB2312" w:cs="仿宋_GB2312"/>
          <w:color w:val="000000"/>
          <w:sz w:val="32"/>
          <w:szCs w:val="32"/>
          <w:lang w:val="en-US" w:eastAsia="zh-CN"/>
        </w:rPr>
        <w:t>附件为《碳纤维复合材料工程技术人才职称评价标准条件（试行）》（以下简称《评价标准》），共有六章23条，对参评人员的范围、条件等进行了详细说明。</w:t>
      </w:r>
    </w:p>
    <w:p>
      <w:pPr>
        <w:spacing w:line="660" w:lineRule="exact"/>
        <w:ind w:firstLine="640"/>
        <w:rPr>
          <w:rFonts w:ascii="Times New Roman" w:hAnsi="Times New Roman" w:eastAsia="黑体"/>
          <w:sz w:val="32"/>
          <w:szCs w:val="32"/>
        </w:rPr>
      </w:pPr>
      <w:r>
        <w:rPr>
          <w:rFonts w:ascii="Times New Roman" w:hAnsi="Times New Roman" w:eastAsia="黑体" w:cs="Times New Roman"/>
          <w:sz w:val="32"/>
          <w:szCs w:val="32"/>
        </w:rPr>
        <w:t>三、</w:t>
      </w:r>
      <w:r>
        <w:rPr>
          <w:rFonts w:ascii="Times New Roman" w:hAnsi="Times New Roman" w:eastAsia="黑体"/>
          <w:sz w:val="32"/>
          <w:szCs w:val="32"/>
        </w:rPr>
        <w:t>文件印发</w:t>
      </w:r>
    </w:p>
    <w:p>
      <w:pPr>
        <w:spacing w:line="600" w:lineRule="exact"/>
        <w:ind w:firstLine="640" w:firstLineChars="200"/>
        <w:rPr>
          <w:rFonts w:ascii="Times New Roman" w:hAnsi="Times New Roman" w:eastAsia="仿宋_GB2312" w:cs="Times New Roman"/>
          <w:b/>
          <w:sz w:val="32"/>
          <w:szCs w:val="32"/>
        </w:rPr>
      </w:pPr>
      <w:r>
        <w:rPr>
          <w:rFonts w:ascii="Times New Roman" w:hAnsi="Times New Roman" w:eastAsia="仿宋_GB2312"/>
          <w:sz w:val="32"/>
          <w:szCs w:val="32"/>
        </w:rPr>
        <w:t>该文件</w:t>
      </w:r>
      <w:r>
        <w:rPr>
          <w:rFonts w:hint="eastAsia" w:ascii="Times New Roman" w:hAnsi="Times New Roman" w:eastAsia="仿宋_GB2312"/>
          <w:sz w:val="32"/>
          <w:szCs w:val="32"/>
        </w:rPr>
        <w:t>拟以临港经济技术开发区管理委员会名义</w:t>
      </w:r>
      <w:r>
        <w:rPr>
          <w:rFonts w:ascii="Times New Roman" w:hAnsi="Times New Roman" w:eastAsia="仿宋_GB2312"/>
          <w:sz w:val="32"/>
          <w:szCs w:val="32"/>
        </w:rPr>
        <w:t>印发，</w:t>
      </w:r>
      <w:r>
        <w:rPr>
          <w:rFonts w:ascii="Times New Roman" w:hAnsi="Times New Roman" w:eastAsia="仿宋_GB2312" w:cs="Times New Roman"/>
          <w:sz w:val="32"/>
          <w:szCs w:val="32"/>
        </w:rPr>
        <w:t>有效期</w:t>
      </w:r>
      <w:r>
        <w:rPr>
          <w:rFonts w:hint="eastAsia" w:ascii="Times New Roman" w:hAnsi="Times New Roman" w:eastAsia="仿宋_GB2312" w:cs="Times New Roman"/>
          <w:sz w:val="32"/>
          <w:szCs w:val="32"/>
          <w:lang w:eastAsia="zh-CN"/>
        </w:rPr>
        <w:t>暂定</w:t>
      </w:r>
      <w:r>
        <w:rPr>
          <w:rFonts w:ascii="Times New Roman" w:hAnsi="Times New Roman" w:eastAsia="仿宋_GB2312" w:cs="Times New Roman"/>
          <w:sz w:val="32"/>
          <w:szCs w:val="32"/>
        </w:rPr>
        <w:t>至202</w:t>
      </w:r>
      <w:r>
        <w:rPr>
          <w:rFonts w:hint="eastAsia" w:ascii="Times New Roman" w:hAnsi="Times New Roman" w:eastAsia="仿宋_GB2312" w:cs="Times New Roman"/>
          <w:sz w:val="32"/>
          <w:szCs w:val="32"/>
          <w:lang w:val="en-US" w:eastAsia="zh-CN"/>
        </w:rPr>
        <w:t>8</w:t>
      </w:r>
      <w:r>
        <w:rPr>
          <w:rFonts w:ascii="Times New Roman" w:hAnsi="Times New Roman" w:eastAsia="仿宋_GB2312" w:cs="Times New Roman"/>
          <w:sz w:val="32"/>
          <w:szCs w:val="32"/>
        </w:rPr>
        <w:t>年</w:t>
      </w:r>
      <w:r>
        <w:rPr>
          <w:rFonts w:hint="eastAsia" w:ascii="Times New Roman" w:hAnsi="Times New Roman" w:eastAsia="仿宋_GB2312" w:cs="Times New Roman"/>
          <w:sz w:val="32"/>
          <w:szCs w:val="32"/>
          <w:lang w:val="en-US" w:eastAsia="zh-CN"/>
        </w:rPr>
        <w:t>9</w:t>
      </w:r>
      <w:r>
        <w:rPr>
          <w:rFonts w:ascii="Times New Roman" w:hAnsi="Times New Roman" w:eastAsia="仿宋_GB2312" w:cs="Times New Roman"/>
          <w:sz w:val="32"/>
          <w:szCs w:val="32"/>
        </w:rPr>
        <w:t>月3</w:t>
      </w:r>
      <w:r>
        <w:rPr>
          <w:rFonts w:hint="eastAsia" w:ascii="Times New Roman" w:hAnsi="Times New Roman" w:eastAsia="仿宋_GB2312" w:cs="Times New Roman"/>
          <w:sz w:val="32"/>
          <w:szCs w:val="32"/>
          <w:lang w:val="en-US" w:eastAsia="zh-CN"/>
        </w:rPr>
        <w:t>0</w:t>
      </w:r>
      <w:bookmarkStart w:id="0" w:name="_GoBack"/>
      <w:bookmarkEnd w:id="0"/>
      <w:r>
        <w:rPr>
          <w:rFonts w:ascii="Times New Roman" w:hAnsi="Times New Roman" w:eastAsia="仿宋_GB2312" w:cs="Times New Roman"/>
          <w:sz w:val="32"/>
          <w:szCs w:val="32"/>
        </w:rPr>
        <w:t>日</w:t>
      </w:r>
      <w:r>
        <w:rPr>
          <w:rFonts w:ascii="Times New Roman" w:hAnsi="Times New Roman" w:eastAsia="仿宋_GB2312"/>
          <w:sz w:val="32"/>
          <w:szCs w:val="32"/>
        </w:rPr>
        <w:t>。</w:t>
      </w:r>
    </w:p>
    <w:p>
      <w:pPr>
        <w:spacing w:line="600" w:lineRule="exact"/>
        <w:ind w:firstLine="643" w:firstLineChars="200"/>
        <w:rPr>
          <w:rFonts w:ascii="Times New Roman" w:hAnsi="Times New Roman" w:eastAsia="仿宋_GB2312" w:cs="Times New Roman"/>
          <w:b/>
          <w:sz w:val="32"/>
          <w:szCs w:val="32"/>
        </w:rPr>
      </w:pPr>
    </w:p>
    <w:sectPr>
      <w:footerReference r:id="rId3" w:type="default"/>
      <w:pgSz w:w="11906" w:h="16838"/>
      <w:pgMar w:top="2098" w:right="1474" w:bottom="1814" w:left="1588"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168051"/>
      <w:docPartObj>
        <w:docPartGallery w:val="autotext"/>
      </w:docPartObj>
    </w:sdtPr>
    <w:sdtEndPr>
      <w:rPr>
        <w:rFonts w:asciiTheme="minorEastAsia" w:hAnsiTheme="minorEastAsia"/>
        <w:sz w:val="28"/>
        <w:szCs w:val="28"/>
      </w:rPr>
    </w:sdtEndPr>
    <w:sdtContent>
      <w:p>
        <w:pPr>
          <w:pStyle w:val="2"/>
          <w:jc w:val="center"/>
          <w:rPr>
            <w:rFonts w:asciiTheme="minorEastAsia" w:hAnsiTheme="minorEastAsia"/>
            <w:sz w:val="28"/>
            <w:szCs w:val="28"/>
          </w:rPr>
        </w:pPr>
        <w:r>
          <w:rPr>
            <w:rFonts w:asciiTheme="minorEastAsia" w:hAnsiTheme="minorEastAsia"/>
            <w:sz w:val="28"/>
            <w:szCs w:val="28"/>
          </w:rPr>
          <w:fldChar w:fldCharType="begin"/>
        </w:r>
        <w:r>
          <w:rPr>
            <w:rFonts w:asciiTheme="minorEastAsia" w:hAnsiTheme="minorEastAsia"/>
            <w:sz w:val="28"/>
            <w:szCs w:val="28"/>
          </w:rPr>
          <w:instrText xml:space="preserve"> PAGE   \* MERGEFORMAT </w:instrText>
        </w:r>
        <w:r>
          <w:rPr>
            <w:rFonts w:asciiTheme="minorEastAsia" w:hAnsiTheme="minorEastAsia"/>
            <w:sz w:val="28"/>
            <w:szCs w:val="28"/>
          </w:rPr>
          <w:fldChar w:fldCharType="separate"/>
        </w:r>
        <w:r>
          <w:rPr>
            <w:rFonts w:asciiTheme="minorEastAsia" w:hAnsiTheme="minorEastAsia"/>
            <w:sz w:val="28"/>
            <w:szCs w:val="28"/>
            <w:lang w:val="zh-CN"/>
          </w:rPr>
          <w:t>-</w:t>
        </w:r>
        <w:r>
          <w:rPr>
            <w:rFonts w:asciiTheme="minorEastAsia" w:hAnsiTheme="minorEastAsia"/>
            <w:sz w:val="28"/>
            <w:szCs w:val="28"/>
          </w:rPr>
          <w:t xml:space="preserve"> 2 -</w:t>
        </w:r>
        <w:r>
          <w:rPr>
            <w:rFonts w:asciiTheme="minorEastAsia" w:hAnsiTheme="minorEastAsia"/>
            <w:sz w:val="28"/>
            <w:szCs w:val="28"/>
          </w:rPr>
          <w:fldChar w:fldCharType="end"/>
        </w:r>
      </w:p>
    </w:sdtContent>
  </w:sdt>
  <w:p>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RiZWUyYWMwZjg4YWI5ODQ0YmE2YzU5M2YyOGZkNDkifQ=="/>
  </w:docVars>
  <w:rsids>
    <w:rsidRoot w:val="004F7C0D"/>
    <w:rsid w:val="00052054"/>
    <w:rsid w:val="001A4C2A"/>
    <w:rsid w:val="001A7CC6"/>
    <w:rsid w:val="001F29EE"/>
    <w:rsid w:val="00251746"/>
    <w:rsid w:val="00282049"/>
    <w:rsid w:val="00292F66"/>
    <w:rsid w:val="002A360C"/>
    <w:rsid w:val="002B5571"/>
    <w:rsid w:val="004775E3"/>
    <w:rsid w:val="00495101"/>
    <w:rsid w:val="004D3312"/>
    <w:rsid w:val="004F7C0D"/>
    <w:rsid w:val="00526678"/>
    <w:rsid w:val="00557FFA"/>
    <w:rsid w:val="00562397"/>
    <w:rsid w:val="005F4615"/>
    <w:rsid w:val="00611AD0"/>
    <w:rsid w:val="006200BE"/>
    <w:rsid w:val="0064589B"/>
    <w:rsid w:val="007435FC"/>
    <w:rsid w:val="00746EA3"/>
    <w:rsid w:val="007D3A9E"/>
    <w:rsid w:val="007E4C98"/>
    <w:rsid w:val="0080055B"/>
    <w:rsid w:val="00811A5E"/>
    <w:rsid w:val="0084444F"/>
    <w:rsid w:val="00881F54"/>
    <w:rsid w:val="008C7738"/>
    <w:rsid w:val="008E0742"/>
    <w:rsid w:val="008E6543"/>
    <w:rsid w:val="009748B1"/>
    <w:rsid w:val="009B44DA"/>
    <w:rsid w:val="00A50CD3"/>
    <w:rsid w:val="00A7530D"/>
    <w:rsid w:val="00A86112"/>
    <w:rsid w:val="00B50A25"/>
    <w:rsid w:val="00B6590C"/>
    <w:rsid w:val="00B732C8"/>
    <w:rsid w:val="00BD1374"/>
    <w:rsid w:val="00C23145"/>
    <w:rsid w:val="00C67DC3"/>
    <w:rsid w:val="00D257B1"/>
    <w:rsid w:val="00D9598D"/>
    <w:rsid w:val="00D96FB8"/>
    <w:rsid w:val="00E0115D"/>
    <w:rsid w:val="00E1759E"/>
    <w:rsid w:val="00E25294"/>
    <w:rsid w:val="00E90921"/>
    <w:rsid w:val="00EA5531"/>
    <w:rsid w:val="00FD41E0"/>
    <w:rsid w:val="0F3F0E76"/>
    <w:rsid w:val="146A39FB"/>
    <w:rsid w:val="1B533543"/>
    <w:rsid w:val="1F72557D"/>
    <w:rsid w:val="27800F0D"/>
    <w:rsid w:val="2FC006DF"/>
    <w:rsid w:val="77F9CD50"/>
    <w:rsid w:val="78A04AD8"/>
    <w:rsid w:val="8BFF92D1"/>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Placeholder Text"/>
    <w:basedOn w:val="5"/>
    <w:semiHidden/>
    <w:qFormat/>
    <w:uiPriority w:val="99"/>
    <w:rPr>
      <w:color w:val="808080"/>
    </w:rPr>
  </w:style>
  <w:style w:type="character" w:customStyle="1" w:styleId="7">
    <w:name w:val="页眉 Char"/>
    <w:basedOn w:val="5"/>
    <w:link w:val="3"/>
    <w:semiHidden/>
    <w:qFormat/>
    <w:uiPriority w:val="99"/>
    <w:rPr>
      <w:sz w:val="18"/>
      <w:szCs w:val="18"/>
    </w:rPr>
  </w:style>
  <w:style w:type="character" w:customStyle="1" w:styleId="8">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Company>China</Company>
  <Pages>2</Pages>
  <Words>926</Words>
  <Characters>944</Characters>
  <Lines>8</Lines>
  <Paragraphs>2</Paragraphs>
  <TotalTime>9</TotalTime>
  <ScaleCrop>false</ScaleCrop>
  <LinksUpToDate>false</LinksUpToDate>
  <CharactersWithSpaces>944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2021-06-15T16:25:00Z</dcterms:created>
  <dc:creator>User</dc:creator>
  <cp:lastModifiedBy>sk</cp:lastModifiedBy>
  <dcterms:modified xsi:type="dcterms:W3CDTF">2023-08-02T06:42:46Z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3F51FC80FF7E4462B776CDD0DD985E28_13</vt:lpwstr>
  </property>
</Properties>
</file>