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7A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宋体" w:hAnsi="宋体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WHCR-2026-0710001</w:t>
      </w:r>
    </w:p>
    <w:p w14:paraId="54995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</w:pPr>
    </w:p>
    <w:p w14:paraId="1B78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</w:pPr>
      <w:bookmarkStart w:id="1" w:name="_GoBack"/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eastAsia="zh-CN"/>
        </w:rPr>
        <w:t>威海临港经济技术开发区管理委员会</w:t>
      </w:r>
    </w:p>
    <w:p w14:paraId="19104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right="0"/>
        <w:jc w:val="center"/>
        <w:textAlignment w:val="baseline"/>
        <w:rPr>
          <w:rFonts w:hint="eastAsia" w:ascii="宋体" w:hAnsi="宋体" w:eastAsia="方正小标宋简体" w:cs="方正小标宋简体"/>
          <w:i w:val="0"/>
          <w:iCs w:val="0"/>
          <w:caps w:val="0"/>
          <w:color w:val="212529"/>
          <w:spacing w:val="0"/>
          <w:sz w:val="44"/>
          <w:szCs w:val="44"/>
          <w:shd w:val="clear" w:color="auto" w:fill="FFFFFF"/>
        </w:rPr>
      </w:pPr>
      <w:bookmarkStart w:id="0" w:name="OLE_LINK1"/>
      <w:r>
        <w:rPr>
          <w:rFonts w:hint="eastAsia" w:ascii="宋体" w:hAnsi="宋体" w:eastAsia="方正小标宋简体" w:cs="方正小标宋简体"/>
          <w:i w:val="0"/>
          <w:iCs w:val="0"/>
          <w:caps w:val="0"/>
          <w:color w:val="212529"/>
          <w:spacing w:val="0"/>
          <w:sz w:val="44"/>
          <w:szCs w:val="44"/>
          <w:shd w:val="clear" w:color="auto" w:fill="FFFFFF"/>
        </w:rPr>
        <w:t>关于调整烟花爆竹禁放区域的通告</w:t>
      </w:r>
    </w:p>
    <w:bookmarkEnd w:id="1"/>
    <w:p w14:paraId="58BB167D">
      <w:pPr>
        <w:ind w:firstLine="640" w:firstLineChars="200"/>
        <w:jc w:val="center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eastAsia="zh-CN"/>
        </w:rPr>
        <w:t>威临港管发〔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val="en-US" w:eastAsia="zh-CN"/>
        </w:rPr>
        <w:t>2026〕4号</w:t>
      </w:r>
      <w:bookmarkEnd w:id="0"/>
    </w:p>
    <w:p w14:paraId="7A1DE9DE">
      <w:pPr>
        <w:ind w:firstLine="640" w:firstLineChars="200"/>
        <w:jc w:val="center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fill="FFFFFF"/>
          <w:lang w:val="en-US" w:eastAsia="zh-CN"/>
        </w:rPr>
      </w:pPr>
    </w:p>
    <w:p w14:paraId="5956BD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为加强烟花爆竹燃放安全管理，保障公共安全和人民群众生命财产安全、消除火灾隐患、改善环境质量，根据《中华人民共和国生态环境法典》《中华人民共和国治安管理处罚法》《烟花爆竹安全管理条例》和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eastAsia="zh-CN"/>
        </w:rPr>
        <w:t>《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威海市禁止燃放烟花爆竹办法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eastAsia="zh-CN"/>
        </w:rPr>
        <w:t>》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等法律法规，现结合本行政区域实际，决定调整烟花爆竹禁放区域范围，现将有关事宜通告如下：</w:t>
      </w:r>
    </w:p>
    <w:p w14:paraId="6195A3F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一、禁燃区域</w:t>
      </w:r>
    </w:p>
    <w:p w14:paraId="66C7F0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eastAsia="zh-CN"/>
        </w:rPr>
        <w:t>威海临港经济技术开发区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全域。</w:t>
      </w:r>
    </w:p>
    <w:p w14:paraId="5A0D487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二、禁燃时间</w:t>
      </w:r>
    </w:p>
    <w:p w14:paraId="09AD274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自通告施行之日起，禁燃区域内禁止燃放烟花爆竹。</w:t>
      </w:r>
    </w:p>
    <w:p w14:paraId="079F0C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三、法律责任</w:t>
      </w:r>
    </w:p>
    <w:p w14:paraId="70787E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任何单位和个人违反相关规定，非法生产、储存、销售、运输、燃放烟花爆竹的，由相关部门依法予以处罚；构成违反治安管理行为的，由公安机关依法给予治安管理处罚；构成犯罪的，依法追究刑事责任。</w:t>
      </w:r>
    </w:p>
    <w:p w14:paraId="07752E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四、施行日期</w:t>
      </w:r>
    </w:p>
    <w:p w14:paraId="489AF5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自</w:t>
      </w:r>
      <w:r>
        <w:rPr>
          <w:rFonts w:hint="eastAsia" w:ascii="宋体" w:hAnsi="宋体" w:eastAsia="宋体" w:cs="宋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2027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  <w:lang w:val="en-US" w:eastAsia="zh-CN"/>
        </w:rPr>
        <w:t>日</w:t>
      </w: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起正式施行。</w:t>
      </w:r>
    </w:p>
    <w:p w14:paraId="078242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黑体" w:cs="黑体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五、其他事项</w:t>
      </w:r>
    </w:p>
    <w:p w14:paraId="66066F4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76" w:lineRule="exact"/>
        <w:ind w:firstLine="640" w:firstLineChars="200"/>
        <w:jc w:val="both"/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本通告未尽事宜，依照《中华人民共和国治安管理处罚法》《中华人民共和国生态环境法典》《烟花爆竹安全管理条例》和《威海市禁止燃放烟花爆竹办法》等法律法规及规章执行。</w:t>
      </w:r>
    </w:p>
    <w:p w14:paraId="4CA2B1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both"/>
        <w:textAlignment w:val="auto"/>
        <w:rPr>
          <w:rFonts w:hint="eastAsia" w:ascii="宋体" w:hAnsi="宋体" w:eastAsia="仿宋_GB2312" w:cs="仿宋_GB2312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i w:val="0"/>
          <w:iCs w:val="0"/>
          <w:caps w:val="0"/>
          <w:color w:val="212529"/>
          <w:spacing w:val="0"/>
          <w:sz w:val="32"/>
          <w:szCs w:val="32"/>
          <w:shd w:val="clear" w:color="auto" w:fill="FFFFFF"/>
        </w:rPr>
        <w:t>特此通告。</w:t>
      </w:r>
    </w:p>
    <w:p w14:paraId="62FD41F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textAlignment w:val="auto"/>
        <w:rPr>
          <w:rFonts w:hint="eastAsia" w:ascii="宋体" w:hAnsi="宋体"/>
          <w:spacing w:val="0"/>
          <w:sz w:val="32"/>
          <w:szCs w:val="32"/>
          <w:lang w:val="en-US" w:eastAsia="zh-CN"/>
        </w:rPr>
      </w:pPr>
    </w:p>
    <w:p w14:paraId="5D3DA31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/>
        <w:textAlignment w:val="auto"/>
        <w:rPr>
          <w:rFonts w:hint="default" w:ascii="宋体" w:hAnsi="宋体" w:cs="仿宋_GB2312"/>
          <w:color w:val="auto"/>
          <w:spacing w:val="0"/>
          <w:sz w:val="32"/>
          <w:szCs w:val="32"/>
          <w:highlight w:val="none"/>
          <w:lang w:val="en-US" w:eastAsia="zh-CN"/>
        </w:rPr>
      </w:pPr>
    </w:p>
    <w:p w14:paraId="0D949A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jc w:val="right"/>
        <w:textAlignment w:val="auto"/>
        <w:outlineLvl w:val="9"/>
        <w:rPr>
          <w:rFonts w:hint="eastAsia" w:ascii="宋体" w:hAnsi="宋体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宋体" w:hAnsi="宋体" w:eastAsia="仿宋_GB2312" w:cs="Times New Roman"/>
          <w:spacing w:val="0"/>
          <w:sz w:val="32"/>
          <w:szCs w:val="32"/>
        </w:rPr>
        <w:t>威海临港</w:t>
      </w:r>
      <w:r>
        <w:rPr>
          <w:rFonts w:hint="eastAsia" w:ascii="宋体" w:hAnsi="宋体" w:cs="Times New Roman"/>
          <w:spacing w:val="0"/>
          <w:sz w:val="32"/>
          <w:szCs w:val="32"/>
          <w:lang w:eastAsia="zh-CN"/>
        </w:rPr>
        <w:t>经济技术开发</w:t>
      </w:r>
      <w:r>
        <w:rPr>
          <w:rFonts w:hint="default" w:ascii="宋体" w:hAnsi="宋体" w:eastAsia="仿宋_GB2312" w:cs="Times New Roman"/>
          <w:spacing w:val="0"/>
          <w:sz w:val="32"/>
          <w:szCs w:val="32"/>
        </w:rPr>
        <w:t>区管理委员会</w:t>
      </w:r>
    </w:p>
    <w:p w14:paraId="2DEED0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jc w:val="right"/>
        <w:textAlignment w:val="auto"/>
        <w:outlineLvl w:val="9"/>
        <w:rPr>
          <w:rFonts w:hint="eastAsia" w:ascii="宋体" w:hAnsi="宋体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宋体" w:hAnsi="宋体" w:eastAsia="仿宋_GB2312" w:cs="Times New Roman"/>
          <w:spacing w:val="0"/>
          <w:sz w:val="32"/>
          <w:szCs w:val="32"/>
        </w:rPr>
        <w:t>20</w:t>
      </w:r>
      <w:r>
        <w:rPr>
          <w:rFonts w:hint="default" w:ascii="宋体" w:hAnsi="宋体" w:eastAsia="仿宋_GB2312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eastAsia" w:ascii="宋体" w:hAnsi="宋体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宋体" w:hAnsi="宋体" w:eastAsia="仿宋_GB2312" w:cs="Times New Roman"/>
          <w:spacing w:val="0"/>
          <w:sz w:val="32"/>
          <w:szCs w:val="32"/>
        </w:rPr>
        <w:t>年</w:t>
      </w:r>
      <w:r>
        <w:rPr>
          <w:rFonts w:hint="eastAsia" w:ascii="宋体" w:hAnsi="宋体" w:cs="Times New Roman"/>
          <w:spacing w:val="0"/>
          <w:sz w:val="32"/>
          <w:szCs w:val="32"/>
          <w:lang w:val="en-US" w:eastAsia="zh-CN"/>
        </w:rPr>
        <w:t>9</w:t>
      </w:r>
      <w:r>
        <w:rPr>
          <w:rFonts w:hint="default" w:ascii="宋体" w:hAnsi="宋体" w:eastAsia="仿宋_GB2312" w:cs="Times New Roman"/>
          <w:spacing w:val="0"/>
          <w:sz w:val="32"/>
          <w:szCs w:val="32"/>
        </w:rPr>
        <w:t>月</w:t>
      </w:r>
      <w:r>
        <w:rPr>
          <w:rFonts w:hint="eastAsia" w:ascii="宋体" w:hAnsi="宋体" w:cs="Times New Roman"/>
          <w:spacing w:val="0"/>
          <w:sz w:val="32"/>
          <w:szCs w:val="32"/>
          <w:lang w:val="en-US" w:eastAsia="zh-CN"/>
        </w:rPr>
        <w:t>16</w:t>
      </w:r>
      <w:r>
        <w:rPr>
          <w:rFonts w:hint="default" w:ascii="宋体" w:hAnsi="宋体" w:eastAsia="仿宋_GB2312" w:cs="Times New Roman"/>
          <w:spacing w:val="0"/>
          <w:sz w:val="32"/>
          <w:szCs w:val="32"/>
        </w:rPr>
        <w:t>日</w:t>
      </w:r>
      <w:r>
        <w:rPr>
          <w:rFonts w:hint="eastAsia" w:ascii="宋体" w:hAnsi="宋体" w:cs="Times New Roman"/>
          <w:spacing w:val="0"/>
          <w:sz w:val="32"/>
          <w:szCs w:val="32"/>
          <w:lang w:val="en-US" w:eastAsia="zh-CN"/>
        </w:rPr>
        <w:t xml:space="preserve">        </w:t>
      </w:r>
    </w:p>
    <w:p w14:paraId="3F7123F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rPr>
          <w:rFonts w:hint="default" w:ascii="宋体" w:hAnsi="宋体"/>
          <w:spacing w:val="0"/>
          <w:lang w:val="en-US" w:eastAsia="zh-CN"/>
        </w:rPr>
      </w:pPr>
    </w:p>
    <w:p w14:paraId="6CB82350">
      <w:pPr>
        <w:rPr>
          <w:rFonts w:ascii="宋体" w:hAnsi="宋体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E4667">
    <w:pPr>
      <w:pStyle w:val="5"/>
      <w:jc w:val="center"/>
      <w:rPr>
        <w:rFonts w:hint="eastAsia"/>
        <w:lang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70324B"/>
    <w:rsid w:val="0E70324B"/>
    <w:rsid w:val="4B5F34C5"/>
    <w:rsid w:val="505C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pPr>
      <w:autoSpaceDE w:val="0"/>
      <w:autoSpaceDN w:val="0"/>
      <w:ind w:left="115"/>
      <w:jc w:val="left"/>
    </w:pPr>
    <w:rPr>
      <w:rFonts w:ascii="仿宋_GB2312" w:hAnsi="仿宋_GB2312" w:eastAsia="仿宋_GB2312" w:cs="仿宋_GB2312"/>
      <w:kern w:val="0"/>
      <w:sz w:val="32"/>
      <w:szCs w:val="32"/>
      <w:lang w:val="zh-CN" w:bidi="zh-CN"/>
    </w:rPr>
  </w:style>
  <w:style w:type="paragraph" w:styleId="4">
    <w:name w:val="Body Text Indent"/>
    <w:basedOn w:val="1"/>
    <w:next w:val="2"/>
    <w:unhideWhenUsed/>
    <w:qFormat/>
    <w:uiPriority w:val="99"/>
    <w:pPr>
      <w:spacing w:line="500" w:lineRule="exact"/>
      <w:ind w:firstLine="480"/>
    </w:pPr>
    <w:rPr>
      <w:rFonts w:eastAsia="宋体"/>
      <w:szCs w:val="24"/>
    </w:rPr>
  </w:style>
  <w:style w:type="paragraph" w:styleId="5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6">
    <w:name w:val="Body Text First Indent 2"/>
    <w:basedOn w:val="4"/>
    <w:next w:val="1"/>
    <w:uiPriority w:val="0"/>
    <w:pPr>
      <w:spacing w:after="120" w:afterLines="0"/>
      <w:ind w:left="420" w:leftChars="200" w:firstLine="420" w:firstLine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466</Characters>
  <Lines>0</Lines>
  <Paragraphs>0</Paragraphs>
  <TotalTime>0</TotalTime>
  <ScaleCrop>false</ScaleCrop>
  <LinksUpToDate>false</LinksUpToDate>
  <CharactersWithSpaces>474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2026-09-18T07:08:00Z</dcterms:created>
  <dc:creator>临港区党政办公室文秘科</dc:creator>
  <cp:lastModifiedBy>好姑娘万丈光芒 </cp:lastModifiedBy>
  <dcterms:modified xsi:type="dcterms:W3CDTF">2026-09-18T08:04:14Z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eyJoZGlkIjoiOGExMzNlNTdlMDJiNmI2YzE0OGM3MmEyYzRmNjE4Y2MiLCJ1c2VySWQiOiIyNTkyMTI5MDUifQ==</vt:lpwstr>
  </property>
  <property fmtid="{D5CDD505-2E9C-101B-9397-08002B2CF9AE}" pid="4" name="ICV">
    <vt:lpwstr>99B544054E494B6B87ED91B4F18688ED_12</vt:lpwstr>
  </property>
</Properties>
</file>