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beforeLines="50" w:afterLines="100" w:line="600" w:lineRule="exact"/>
        <w:jc w:val="center"/>
        <w:outlineLvl w:val="0"/>
        <w:rPr>
          <w:rFonts w:ascii="方正小标宋简体" w:hAnsi="宋体" w:eastAsia="方正小标宋简体" w:cs="宋体"/>
          <w:bCs/>
          <w:kern w:val="36"/>
          <w:sz w:val="44"/>
          <w:szCs w:val="44"/>
        </w:rPr>
      </w:pPr>
      <w:bookmarkStart w:id="0" w:name="_GoBack"/>
      <w:r>
        <w:rPr>
          <w:rFonts w:hint="eastAsia" w:ascii="方正小标宋简体" w:hAnsi="宋体" w:eastAsia="方正小标宋简体" w:cs="宋体"/>
          <w:bCs/>
          <w:kern w:val="36"/>
          <w:sz w:val="44"/>
          <w:szCs w:val="44"/>
        </w:rPr>
        <w:t>临港区行政审批服务局</w:t>
      </w:r>
    </w:p>
    <w:p>
      <w:pPr>
        <w:widowControl/>
        <w:spacing w:beforeLines="50" w:afterLines="100" w:line="600" w:lineRule="exact"/>
        <w:jc w:val="center"/>
        <w:outlineLvl w:val="0"/>
        <w:rPr>
          <w:rFonts w:ascii="方正小标宋简体" w:hAnsi="宋体" w:eastAsia="方正小标宋简体" w:cs="宋体"/>
          <w:bCs/>
          <w:kern w:val="36"/>
          <w:sz w:val="44"/>
          <w:szCs w:val="44"/>
        </w:rPr>
      </w:pPr>
      <w:r>
        <w:rPr>
          <w:rFonts w:hint="eastAsia" w:ascii="方正小标宋简体" w:hAnsi="宋体" w:eastAsia="方正小标宋简体" w:cs="宋体"/>
          <w:bCs/>
          <w:kern w:val="36"/>
          <w:sz w:val="44"/>
          <w:szCs w:val="44"/>
        </w:rPr>
        <w:t>行政许可程序规范</w:t>
      </w:r>
      <w:bookmarkEnd w:id="0"/>
    </w:p>
    <w:p>
      <w:pPr>
        <w:pStyle w:val="5"/>
        <w:widowControl/>
        <w:numPr>
          <w:ilvl w:val="0"/>
          <w:numId w:val="1"/>
        </w:numPr>
        <w:snapToGrid w:val="0"/>
        <w:spacing w:line="600" w:lineRule="exact"/>
        <w:ind w:firstLineChars="0"/>
        <w:jc w:val="center"/>
        <w:rPr>
          <w:rFonts w:ascii="黑体" w:hAnsi="黑体" w:eastAsia="黑体"/>
          <w:bCs/>
          <w:sz w:val="32"/>
          <w:szCs w:val="32"/>
        </w:rPr>
      </w:pPr>
      <w:r>
        <w:rPr>
          <w:rFonts w:hint="eastAsia" w:ascii="黑体" w:hAnsi="黑体" w:eastAsia="黑体"/>
          <w:bCs/>
          <w:sz w:val="32"/>
          <w:szCs w:val="32"/>
        </w:rPr>
        <w:t xml:space="preserve"> </w:t>
      </w:r>
      <w:r>
        <w:rPr>
          <w:rFonts w:ascii="黑体" w:hAnsi="黑体" w:eastAsia="黑体"/>
          <w:bCs/>
          <w:sz w:val="32"/>
          <w:szCs w:val="32"/>
        </w:rPr>
        <w:t>总则</w:t>
      </w:r>
    </w:p>
    <w:p>
      <w:pPr>
        <w:widowControl/>
        <w:snapToGrid w:val="0"/>
        <w:spacing w:line="600" w:lineRule="exact"/>
        <w:ind w:firstLine="630" w:firstLineChars="197"/>
        <w:jc w:val="left"/>
        <w:rPr>
          <w:rFonts w:ascii="仿宋_GB2312" w:eastAsia="仿宋_GB2312"/>
          <w:sz w:val="32"/>
          <w:szCs w:val="32"/>
        </w:rPr>
      </w:pPr>
      <w:r>
        <w:rPr>
          <w:rFonts w:hint="eastAsia" w:ascii="仿宋_GB2312" w:eastAsia="仿宋_GB2312"/>
          <w:sz w:val="32"/>
          <w:szCs w:val="32"/>
        </w:rPr>
        <w:t>第一条  为规范本机关行政许可工作，推进职能转变、简政放权，做到依法行政、便民高效，根据《中华人民共和国行政许可法》、</w:t>
      </w:r>
      <w:r>
        <w:rPr>
          <w:rFonts w:hint="eastAsia" w:ascii="仿宋_GB2312" w:eastAsia="仿宋_GB2312"/>
          <w:color w:val="000000"/>
          <w:sz w:val="32"/>
          <w:szCs w:val="32"/>
        </w:rPr>
        <w:t>《山东省行政程序规定》</w:t>
      </w:r>
      <w:r>
        <w:rPr>
          <w:rFonts w:hint="eastAsia" w:ascii="仿宋_GB2312" w:eastAsia="仿宋_GB2312"/>
          <w:sz w:val="32"/>
          <w:szCs w:val="32"/>
        </w:rPr>
        <w:t>等法律法规以及国家关于规范和改进行政审批工作的有关文件规定，制定本规范。</w:t>
      </w:r>
    </w:p>
    <w:p>
      <w:pPr>
        <w:widowControl/>
        <w:spacing w:line="600" w:lineRule="exact"/>
        <w:ind w:firstLine="640" w:firstLineChars="200"/>
        <w:jc w:val="left"/>
        <w:rPr>
          <w:rFonts w:ascii="仿宋_GB2312" w:hAnsi="宋体" w:eastAsia="仿宋_GB2312" w:cs="宋体"/>
          <w:kern w:val="0"/>
          <w:sz w:val="32"/>
          <w:szCs w:val="32"/>
        </w:rPr>
      </w:pPr>
      <w:r>
        <w:rPr>
          <w:rFonts w:hint="eastAsia" w:ascii="仿宋_GB2312" w:hAnsi="宋体" w:eastAsia="仿宋_GB2312" w:cs="宋体"/>
          <w:kern w:val="0"/>
          <w:sz w:val="32"/>
          <w:szCs w:val="32"/>
        </w:rPr>
        <w:t>第二条  本规范所称行政许可，是指根据公民、法人或者其他组织（以下称申请人）的申请，经依法审查，准予其从事特定活动的行为。</w:t>
      </w:r>
    </w:p>
    <w:p>
      <w:pPr>
        <w:widowControl/>
        <w:spacing w:line="600" w:lineRule="exact"/>
        <w:ind w:firstLine="640" w:firstLineChars="200"/>
        <w:jc w:val="left"/>
        <w:rPr>
          <w:rFonts w:ascii="仿宋_GB2312" w:hAnsi="宋体" w:eastAsia="仿宋_GB2312" w:cs="宋体"/>
          <w:kern w:val="0"/>
          <w:sz w:val="32"/>
          <w:szCs w:val="32"/>
        </w:rPr>
      </w:pPr>
      <w:r>
        <w:rPr>
          <w:rFonts w:hint="eastAsia" w:ascii="仿宋_GB2312" w:hAnsi="宋体" w:eastAsia="仿宋_GB2312" w:cs="宋体"/>
          <w:kern w:val="0"/>
          <w:sz w:val="32"/>
          <w:szCs w:val="32"/>
        </w:rPr>
        <w:t>第三条  本机关实施行政许可，以及申请人依法取得行政许可后，申请变更行政许可、延续行政许可有效期的，其程序适用本规范。</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第四条  规范行政许可应当遵循公平公正、依法设定、合法公开、高效便民、监督问责的原则。</w:t>
      </w:r>
    </w:p>
    <w:p>
      <w:pPr>
        <w:widowControl/>
        <w:spacing w:beforeLines="50" w:line="600" w:lineRule="exact"/>
        <w:jc w:val="center"/>
        <w:rPr>
          <w:rFonts w:ascii="黑体" w:hAnsi="黑体" w:eastAsia="黑体" w:cs="宋体"/>
          <w:kern w:val="0"/>
          <w:sz w:val="32"/>
          <w:szCs w:val="32"/>
        </w:rPr>
      </w:pPr>
      <w:r>
        <w:rPr>
          <w:rFonts w:hint="eastAsia" w:ascii="黑体" w:hAnsi="黑体" w:eastAsia="黑体"/>
          <w:sz w:val="32"/>
          <w:szCs w:val="32"/>
        </w:rPr>
        <w:t>第二章  申请</w:t>
      </w:r>
    </w:p>
    <w:p>
      <w:pPr>
        <w:pStyle w:val="2"/>
        <w:spacing w:before="0" w:beforeAutospacing="0" w:after="0" w:afterAutospacing="0" w:line="600" w:lineRule="exact"/>
        <w:ind w:firstLine="630" w:firstLineChars="197"/>
        <w:rPr>
          <w:rFonts w:ascii="仿宋_GB2312" w:eastAsia="仿宋_GB2312"/>
          <w:sz w:val="32"/>
          <w:szCs w:val="32"/>
        </w:rPr>
      </w:pPr>
      <w:r>
        <w:rPr>
          <w:rFonts w:hint="eastAsia" w:ascii="仿宋_GB2312" w:eastAsia="仿宋_GB2312"/>
          <w:sz w:val="32"/>
          <w:szCs w:val="32"/>
        </w:rPr>
        <w:t>第五条  申请人申请行政许可，应当提交申请，受理人应指导申请人填写申请书。</w:t>
      </w:r>
    </w:p>
    <w:p>
      <w:pPr>
        <w:pStyle w:val="2"/>
        <w:spacing w:before="0" w:beforeAutospacing="0" w:after="0" w:afterAutospacing="0" w:line="600" w:lineRule="exact"/>
        <w:ind w:firstLine="630" w:firstLineChars="197"/>
        <w:rPr>
          <w:rFonts w:ascii="仿宋_GB2312" w:eastAsia="仿宋_GB2312"/>
          <w:sz w:val="32"/>
          <w:szCs w:val="32"/>
        </w:rPr>
      </w:pPr>
      <w:r>
        <w:rPr>
          <w:rFonts w:hint="eastAsia" w:ascii="仿宋_GB2312" w:eastAsia="仿宋_GB2312"/>
          <w:sz w:val="32"/>
          <w:szCs w:val="32"/>
        </w:rPr>
        <w:t>第六条  申请人可以委托代理人提出行政许可申请，也可以通过信函和网上申报等方式提出，依法应当由申请人到现场提出行政许可申请的除外。</w:t>
      </w:r>
    </w:p>
    <w:p>
      <w:pPr>
        <w:pStyle w:val="2"/>
        <w:spacing w:before="0" w:beforeAutospacing="0" w:after="0" w:afterAutospacing="0" w:line="600" w:lineRule="exact"/>
        <w:ind w:firstLine="627" w:firstLineChars="196"/>
        <w:rPr>
          <w:rFonts w:ascii="仿宋_GB2312" w:eastAsia="仿宋_GB2312"/>
          <w:sz w:val="32"/>
          <w:szCs w:val="32"/>
        </w:rPr>
      </w:pPr>
      <w:r>
        <w:rPr>
          <w:rFonts w:hint="eastAsia" w:ascii="仿宋_GB2312" w:eastAsia="仿宋_GB2312"/>
          <w:sz w:val="32"/>
          <w:szCs w:val="32"/>
        </w:rPr>
        <w:t>第七条  申请人申请行政许可，应当如实提交有关材料和反映真实情况，并对其申请材料实质内容的真实性负责。受理人不得要求申请人提交办事指南申请材料目录以外的其他材料。</w:t>
      </w:r>
    </w:p>
    <w:p>
      <w:pPr>
        <w:pStyle w:val="2"/>
        <w:spacing w:beforeLines="50" w:beforeAutospacing="0" w:after="0" w:afterAutospacing="0" w:line="600" w:lineRule="exact"/>
        <w:jc w:val="center"/>
        <w:rPr>
          <w:rFonts w:ascii="黑体" w:hAnsi="黑体" w:eastAsia="黑体"/>
          <w:sz w:val="32"/>
          <w:szCs w:val="32"/>
        </w:rPr>
      </w:pPr>
      <w:r>
        <w:rPr>
          <w:rFonts w:hint="eastAsia" w:ascii="黑体" w:hAnsi="黑体" w:eastAsia="黑体"/>
          <w:sz w:val="32"/>
          <w:szCs w:val="32"/>
        </w:rPr>
        <w:t>第三章  受理</w:t>
      </w:r>
    </w:p>
    <w:p>
      <w:pPr>
        <w:pStyle w:val="2"/>
        <w:spacing w:before="0" w:beforeAutospacing="0" w:after="0" w:afterAutospacing="0" w:line="600" w:lineRule="exact"/>
        <w:ind w:firstLine="640" w:firstLineChars="200"/>
        <w:rPr>
          <w:rFonts w:ascii="黑体" w:hAnsi="黑体" w:eastAsia="黑体"/>
          <w:sz w:val="32"/>
          <w:szCs w:val="32"/>
        </w:rPr>
      </w:pPr>
      <w:r>
        <w:rPr>
          <w:rFonts w:hint="eastAsia" w:ascii="仿宋_GB2312" w:eastAsia="仿宋_GB2312"/>
          <w:sz w:val="32"/>
          <w:szCs w:val="32"/>
        </w:rPr>
        <w:t>第八条  在受理环节，实行行政许可事项受理通知制度。申请人提交的申请事项属于本机关职权范围，申请材料齐全且符合法定形式的，应出具受理通知书。能够当场办理的行政许可事项，可直接出具准予行政许可的证件，不再出具受理通知书。</w:t>
      </w:r>
    </w:p>
    <w:p>
      <w:pPr>
        <w:pStyle w:val="2"/>
        <w:spacing w:before="0" w:beforeAutospacing="0" w:after="0" w:afterAutospacing="0" w:line="600" w:lineRule="exact"/>
        <w:ind w:firstLine="627" w:firstLineChars="196"/>
        <w:rPr>
          <w:rFonts w:ascii="仿宋_GB2312" w:eastAsia="仿宋_GB2312"/>
          <w:sz w:val="32"/>
          <w:szCs w:val="32"/>
        </w:rPr>
      </w:pPr>
      <w:r>
        <w:rPr>
          <w:rFonts w:hint="eastAsia" w:ascii="仿宋_GB2312" w:eastAsia="仿宋_GB2312"/>
          <w:sz w:val="32"/>
          <w:szCs w:val="32"/>
        </w:rPr>
        <w:t>第九条  受理窗口对申请人提交的申请材料，应当根据下列情况分别作出处理：</w:t>
      </w:r>
    </w:p>
    <w:p>
      <w:pPr>
        <w:pStyle w:val="2"/>
        <w:spacing w:before="0" w:beforeAutospacing="0" w:after="0" w:afterAutospacing="0" w:line="600" w:lineRule="exact"/>
        <w:rPr>
          <w:rFonts w:ascii="仿宋_GB2312" w:eastAsia="仿宋_GB2312"/>
          <w:sz w:val="32"/>
          <w:szCs w:val="32"/>
        </w:rPr>
      </w:pPr>
      <w:r>
        <w:rPr>
          <w:rFonts w:hint="eastAsia" w:ascii="仿宋_GB2312" w:eastAsia="仿宋_GB2312"/>
          <w:sz w:val="32"/>
          <w:szCs w:val="32"/>
        </w:rPr>
        <w:t>　　（一）申请事项依法不属于本机关职权范围的，应当告知申请人并出具《不予受理通知书》，同时，告知申请人向有关行政机关申请；</w:t>
      </w:r>
    </w:p>
    <w:p>
      <w:pPr>
        <w:pStyle w:val="2"/>
        <w:spacing w:before="0" w:beforeAutospacing="0" w:after="0" w:afterAutospacing="0" w:line="600" w:lineRule="exact"/>
        <w:ind w:firstLine="640"/>
        <w:rPr>
          <w:rFonts w:ascii="仿宋_GB2312" w:eastAsia="仿宋_GB2312"/>
          <w:sz w:val="32"/>
          <w:szCs w:val="32"/>
        </w:rPr>
      </w:pPr>
      <w:r>
        <w:rPr>
          <w:rFonts w:hint="eastAsia" w:ascii="仿宋_GB2312" w:eastAsia="仿宋_GB2312"/>
          <w:sz w:val="32"/>
          <w:szCs w:val="32"/>
        </w:rPr>
        <w:t>（二）申请材料不齐全或者不符合法定形式的，应当当场一次性告知申请人需要补正的全部内容，出具《</w:t>
      </w:r>
      <w:r>
        <w:rPr>
          <w:rFonts w:hint="eastAsia" w:ascii="仿宋_GB2312" w:hAnsi="黑体" w:eastAsia="仿宋_GB2312" w:cs="黑体"/>
          <w:bCs/>
          <w:sz w:val="32"/>
          <w:szCs w:val="32"/>
        </w:rPr>
        <w:t>材料补正告知书</w:t>
      </w:r>
      <w:r>
        <w:rPr>
          <w:rFonts w:hint="eastAsia" w:ascii="仿宋_GB2312" w:eastAsia="仿宋_GB2312"/>
          <w:sz w:val="32"/>
          <w:szCs w:val="32"/>
        </w:rPr>
        <w:t>》，逾期不告知的，自收到申请材料之日起即为受理；申请材料存在可以当场更正的错误的，应当允许申请人当场更正；</w:t>
      </w:r>
    </w:p>
    <w:p>
      <w:pPr>
        <w:pStyle w:val="2"/>
        <w:spacing w:before="0" w:beforeAutospacing="0" w:after="0" w:afterAutospacing="0" w:line="600" w:lineRule="exact"/>
        <w:ind w:firstLine="640"/>
        <w:rPr>
          <w:rFonts w:ascii="仿宋_GB2312" w:eastAsia="仿宋_GB2312"/>
          <w:sz w:val="32"/>
          <w:szCs w:val="32"/>
        </w:rPr>
      </w:pPr>
      <w:r>
        <w:rPr>
          <w:rFonts w:hint="eastAsia" w:ascii="仿宋_GB2312" w:eastAsia="仿宋_GB2312"/>
          <w:sz w:val="32"/>
          <w:szCs w:val="32"/>
        </w:rPr>
        <w:t>（三）申请事项属于本机关职权范围，申请材料齐全、符合法定形式，或者申请人按要求提交全部补正申请材料的，应当受理行政许可申请，并出具《受理通知书》。</w:t>
      </w:r>
    </w:p>
    <w:p>
      <w:pPr>
        <w:pStyle w:val="2"/>
        <w:spacing w:before="0" w:beforeAutospacing="0" w:after="0" w:afterAutospacing="0" w:line="600" w:lineRule="exact"/>
        <w:ind w:firstLine="630"/>
        <w:rPr>
          <w:rFonts w:ascii="仿宋_GB2312" w:eastAsia="仿宋_GB2312"/>
          <w:sz w:val="32"/>
          <w:szCs w:val="32"/>
        </w:rPr>
      </w:pPr>
      <w:r>
        <w:rPr>
          <w:rFonts w:hint="eastAsia" w:ascii="仿宋_GB2312" w:eastAsia="仿宋_GB2312"/>
          <w:sz w:val="32"/>
          <w:szCs w:val="32"/>
        </w:rPr>
        <w:t>第十条  受理、材料补正或者不予受理通知书，应由申请人或者其委托代理人签字确认，并注明具体日期。</w:t>
      </w:r>
    </w:p>
    <w:p>
      <w:pPr>
        <w:pStyle w:val="2"/>
        <w:spacing w:beforeLines="50" w:beforeAutospacing="0" w:after="0" w:afterAutospacing="0" w:line="600" w:lineRule="exact"/>
        <w:jc w:val="center"/>
        <w:rPr>
          <w:rFonts w:ascii="黑体" w:hAnsi="黑体" w:eastAsia="黑体"/>
          <w:sz w:val="32"/>
          <w:szCs w:val="32"/>
        </w:rPr>
      </w:pPr>
      <w:r>
        <w:rPr>
          <w:rFonts w:hint="eastAsia" w:ascii="黑体" w:hAnsi="黑体" w:eastAsia="黑体"/>
          <w:sz w:val="32"/>
          <w:szCs w:val="32"/>
        </w:rPr>
        <w:t>第四章  审查</w:t>
      </w:r>
    </w:p>
    <w:p>
      <w:pPr>
        <w:pStyle w:val="2"/>
        <w:spacing w:before="0" w:beforeAutospacing="0" w:after="0" w:afterAutospacing="0" w:line="600" w:lineRule="exact"/>
        <w:ind w:firstLine="627" w:firstLineChars="196"/>
        <w:rPr>
          <w:rFonts w:ascii="仿宋_GB2312" w:eastAsia="仿宋_GB2312"/>
          <w:sz w:val="32"/>
          <w:szCs w:val="32"/>
        </w:rPr>
      </w:pPr>
      <w:r>
        <w:rPr>
          <w:rFonts w:hint="eastAsia" w:ascii="仿宋_GB2312" w:eastAsia="仿宋_GB2312"/>
          <w:sz w:val="32"/>
          <w:szCs w:val="32"/>
        </w:rPr>
        <w:t>第十一条  申请人提交的申请材料齐全、符合法定形式，能够当场作出决定的，应当当场作出书面的行政许可决定，并出具《</w:t>
      </w:r>
      <w:r>
        <w:rPr>
          <w:rFonts w:hint="eastAsia" w:ascii="仿宋_GB2312" w:hAnsi="黑体" w:eastAsia="仿宋_GB2312"/>
          <w:sz w:val="32"/>
          <w:szCs w:val="32"/>
        </w:rPr>
        <w:t>准予行政许可决定书</w:t>
      </w:r>
      <w:r>
        <w:rPr>
          <w:rFonts w:hint="eastAsia" w:ascii="仿宋_GB2312" w:eastAsia="仿宋_GB2312"/>
          <w:sz w:val="32"/>
          <w:szCs w:val="32"/>
        </w:rPr>
        <w:t>》。不能当场作出行政许可决定的，应当在承诺期限内按照规定程序作出行政许可决定。因特殊原因不能在承诺期限内作出决定的，经本行政机关负责人批准，可以延长，并出具《</w:t>
      </w:r>
      <w:r>
        <w:rPr>
          <w:rFonts w:hint="eastAsia" w:ascii="仿宋_GB2312" w:hAnsi="黑体" w:eastAsia="仿宋_GB2312" w:cs="黑体"/>
          <w:sz w:val="32"/>
          <w:szCs w:val="32"/>
        </w:rPr>
        <w:t>延期决定通知书</w:t>
      </w:r>
      <w:r>
        <w:rPr>
          <w:rFonts w:hint="eastAsia" w:ascii="仿宋_GB2312" w:eastAsia="仿宋_GB2312"/>
          <w:sz w:val="32"/>
          <w:szCs w:val="32"/>
        </w:rPr>
        <w:t>》，将延长的期限、理由告知申请人。法律、法规另有规定的，从其规定。</w:t>
      </w:r>
    </w:p>
    <w:p>
      <w:pPr>
        <w:pStyle w:val="2"/>
        <w:spacing w:before="0" w:beforeAutospacing="0" w:after="0" w:afterAutospacing="0" w:line="600" w:lineRule="exact"/>
        <w:ind w:firstLine="640" w:firstLineChars="200"/>
        <w:rPr>
          <w:rFonts w:ascii="仿宋_GB2312" w:eastAsia="仿宋_GB2312"/>
          <w:sz w:val="32"/>
          <w:szCs w:val="32"/>
        </w:rPr>
      </w:pPr>
      <w:r>
        <w:rPr>
          <w:rFonts w:hint="eastAsia" w:ascii="仿宋_GB2312" w:eastAsia="仿宋_GB2312"/>
          <w:sz w:val="32"/>
          <w:szCs w:val="32"/>
        </w:rPr>
        <w:t>第十二条  根据法定条件和程序，需要进行现场核查（勘验）的，应当由</w:t>
      </w:r>
      <w:r>
        <w:rPr>
          <w:rFonts w:ascii="仿宋_GB2312" w:eastAsia="仿宋_GB2312"/>
          <w:sz w:val="32"/>
          <w:szCs w:val="32"/>
        </w:rPr>
        <w:t>本机关</w:t>
      </w:r>
      <w:r>
        <w:rPr>
          <w:rFonts w:hint="eastAsia" w:ascii="仿宋_GB2312" w:eastAsia="仿宋_GB2312"/>
          <w:sz w:val="32"/>
          <w:szCs w:val="32"/>
        </w:rPr>
        <w:t>指派两名以上</w:t>
      </w:r>
      <w:r>
        <w:rPr>
          <w:rFonts w:ascii="仿宋_GB2312" w:eastAsia="仿宋_GB2312"/>
          <w:sz w:val="32"/>
          <w:szCs w:val="32"/>
        </w:rPr>
        <w:t>符合要求的</w:t>
      </w:r>
      <w:r>
        <w:rPr>
          <w:rFonts w:hint="eastAsia" w:ascii="仿宋_GB2312" w:eastAsia="仿宋_GB2312"/>
          <w:sz w:val="32"/>
          <w:szCs w:val="32"/>
        </w:rPr>
        <w:t>人员进行。核查（勘验）人员应当主动出示</w:t>
      </w:r>
      <w:r>
        <w:rPr>
          <w:rFonts w:ascii="仿宋_GB2312" w:eastAsia="仿宋_GB2312"/>
          <w:sz w:val="32"/>
          <w:szCs w:val="32"/>
        </w:rPr>
        <w:t>有效证件</w:t>
      </w:r>
      <w:r>
        <w:rPr>
          <w:rFonts w:hint="eastAsia" w:ascii="仿宋_GB2312" w:eastAsia="仿宋_GB2312"/>
          <w:sz w:val="32"/>
          <w:szCs w:val="32"/>
        </w:rPr>
        <w:t>，必要时可依法组织听证、检验、检测、鉴定及专家评审。</w:t>
      </w:r>
    </w:p>
    <w:p>
      <w:pPr>
        <w:widowControl/>
        <w:autoSpaceDE w:val="0"/>
        <w:spacing w:line="560" w:lineRule="exact"/>
        <w:ind w:firstLine="640" w:firstLineChars="200"/>
        <w:jc w:val="left"/>
        <w:rPr>
          <w:rFonts w:ascii="仿宋" w:hAnsi="仿宋" w:eastAsia="仿宋" w:cs="仿宋"/>
          <w:color w:val="000000"/>
          <w:kern w:val="0"/>
          <w:sz w:val="32"/>
          <w:szCs w:val="32"/>
        </w:rPr>
      </w:pPr>
      <w:r>
        <w:rPr>
          <w:rFonts w:hint="eastAsia" w:ascii="仿宋_GB2312" w:eastAsia="仿宋_GB2312"/>
          <w:sz w:val="32"/>
          <w:szCs w:val="32"/>
        </w:rPr>
        <w:t xml:space="preserve">第十三条  </w:t>
      </w:r>
      <w:r>
        <w:rPr>
          <w:rFonts w:hint="eastAsia" w:ascii="仿宋_GB2312" w:hAnsi="仿宋" w:eastAsia="仿宋_GB2312" w:cs="仿宋"/>
          <w:color w:val="000000"/>
          <w:kern w:val="0"/>
          <w:sz w:val="32"/>
          <w:szCs w:val="32"/>
        </w:rPr>
        <w:t>现场核查（勘验）人员根据核查（勘验）情况，将核查（勘验）结果当场告知申请人，并填写相关现场核查（勘验）表单，经申请人核对无误后，现场勘验人员和申请人在相关表单上签名或盖章。申请人拒绝签名或盖章的，现场勘验人员应当注明拒签情况。经核实不符合条件的，则当场告知原因；如可以整改的，则当场一次性告知整改事项要求、确定整改时限，下达《现场勘验整改通知书》。</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第十四条  需要联合</w:t>
      </w:r>
      <w:r>
        <w:rPr>
          <w:rFonts w:ascii="仿宋_GB2312" w:hAnsi="Times New Roman" w:eastAsia="仿宋_GB2312" w:cs="仿宋_GB2312"/>
          <w:sz w:val="32"/>
          <w:szCs w:val="32"/>
        </w:rPr>
        <w:t>有关主管部门及相关部门共同</w:t>
      </w:r>
      <w:r>
        <w:rPr>
          <w:rFonts w:hint="eastAsia" w:ascii="仿宋_GB2312" w:eastAsia="仿宋_GB2312"/>
          <w:sz w:val="32"/>
          <w:szCs w:val="32"/>
        </w:rPr>
        <w:t>进行现场核查（勘验）的，法规监督科应牵头各业务科室填写《现场核查（勘验）联办函》等联办函件，并推送至相关单位，按联办函件确定的时间组织相关单位进行现场核查（勘验）</w:t>
      </w:r>
      <w:r>
        <w:rPr>
          <w:rFonts w:ascii="仿宋_GB2312" w:eastAsia="仿宋_GB2312"/>
          <w:sz w:val="32"/>
          <w:szCs w:val="32"/>
        </w:rPr>
        <w:t>，或根据实际情况亦可直接电话联系组织相关单位共同到现场进行核查（勘验）</w:t>
      </w:r>
      <w:r>
        <w:rPr>
          <w:rFonts w:hint="eastAsia" w:ascii="仿宋_GB2312" w:eastAsia="仿宋_GB2312"/>
          <w:sz w:val="32"/>
          <w:szCs w:val="32"/>
        </w:rPr>
        <w:t>。参与现场核查（勘验）的各相关单位人员根据核查（勘验）情况提出意见，并在《现场核查（勘验）工作单》等材料上签字确认。承办科室应督促相关单位在核查结束后3个工作日内形成书面意见并及时反馈。</w:t>
      </w:r>
    </w:p>
    <w:p>
      <w:pPr>
        <w:pStyle w:val="2"/>
        <w:spacing w:before="0" w:beforeAutospacing="0" w:after="0" w:afterAutospacing="0" w:line="600" w:lineRule="exact"/>
        <w:ind w:firstLine="640" w:firstLineChars="200"/>
        <w:rPr>
          <w:rFonts w:ascii="仿宋_GB2312" w:eastAsia="仿宋_GB2312"/>
          <w:sz w:val="32"/>
          <w:szCs w:val="32"/>
        </w:rPr>
      </w:pPr>
      <w:r>
        <w:rPr>
          <w:rFonts w:hint="eastAsia" w:ascii="仿宋_GB2312" w:eastAsia="仿宋_GB2312"/>
          <w:sz w:val="32"/>
          <w:szCs w:val="32"/>
        </w:rPr>
        <w:t>第十五条  委托其他行政主管部门现场核查（勘验）的，本机关各业务科室要根据科室职能分工，法规监督科牵头及时以函的方式告知相关行政主管部门，在承诺或规定时限内完成现场核查（勘验）工作，并将加盖公章的纸质版审查意见，通过EMS邮政速递或直接送达区行政审批服务局法规监督科。</w:t>
      </w:r>
    </w:p>
    <w:p>
      <w:pPr>
        <w:pStyle w:val="2"/>
        <w:spacing w:before="0" w:beforeAutospacing="0" w:after="0" w:afterAutospacing="0" w:line="600" w:lineRule="exact"/>
        <w:ind w:firstLine="640" w:firstLineChars="200"/>
        <w:rPr>
          <w:rFonts w:ascii="仿宋_GB2312" w:eastAsia="仿宋_GB2312"/>
          <w:sz w:val="32"/>
          <w:szCs w:val="32"/>
        </w:rPr>
      </w:pPr>
      <w:r>
        <w:rPr>
          <w:rFonts w:hint="eastAsia" w:ascii="仿宋_GB2312" w:eastAsia="仿宋_GB2312"/>
          <w:sz w:val="32"/>
          <w:szCs w:val="32"/>
        </w:rPr>
        <w:t>第十六条  各业务科室对行政许可申请进行审查时，发现行政许可事项直接关系他人重大利益的，应启动本机关“重大行政执法决定法制审核机制”，并告知该利害关系人，出具《</w:t>
      </w:r>
      <w:r>
        <w:rPr>
          <w:rFonts w:hint="eastAsia" w:ascii="仿宋_GB2312" w:hAnsi="黑体" w:eastAsia="仿宋_GB2312"/>
          <w:bCs/>
          <w:color w:val="000000"/>
          <w:sz w:val="32"/>
          <w:szCs w:val="32"/>
        </w:rPr>
        <w:t>行政许可利害关系人告知书</w:t>
      </w:r>
      <w:r>
        <w:rPr>
          <w:rFonts w:hint="eastAsia" w:ascii="仿宋_GB2312" w:eastAsia="仿宋_GB2312"/>
          <w:sz w:val="32"/>
          <w:szCs w:val="32"/>
        </w:rPr>
        <w:t>》。申请人、利害关系人有权进行陈述和申辩，本机关应当听取申请人、利害关系人的意见。</w:t>
      </w:r>
    </w:p>
    <w:p>
      <w:pPr>
        <w:pStyle w:val="2"/>
        <w:spacing w:before="0" w:beforeAutospacing="0" w:after="0" w:afterAutospacing="0" w:line="600" w:lineRule="exact"/>
        <w:jc w:val="center"/>
        <w:rPr>
          <w:rFonts w:ascii="黑体" w:hAnsi="黑体" w:eastAsia="黑体"/>
          <w:sz w:val="32"/>
          <w:szCs w:val="32"/>
        </w:rPr>
      </w:pPr>
      <w:r>
        <w:rPr>
          <w:rFonts w:hint="eastAsia" w:ascii="黑体" w:hAnsi="黑体" w:eastAsia="黑体"/>
          <w:sz w:val="32"/>
          <w:szCs w:val="32"/>
        </w:rPr>
        <w:t>第五章  听证</w:t>
      </w:r>
    </w:p>
    <w:p>
      <w:pPr>
        <w:widowControl/>
        <w:spacing w:line="600" w:lineRule="exact"/>
        <w:ind w:firstLine="627" w:firstLineChars="196"/>
        <w:jc w:val="left"/>
        <w:rPr>
          <w:rFonts w:ascii="仿宋_GB2312" w:eastAsia="仿宋_GB2312"/>
          <w:sz w:val="32"/>
          <w:szCs w:val="32"/>
        </w:rPr>
      </w:pPr>
      <w:r>
        <w:rPr>
          <w:rFonts w:hint="eastAsia" w:ascii="仿宋_GB2312" w:eastAsia="仿宋_GB2312"/>
          <w:sz w:val="32"/>
          <w:szCs w:val="32"/>
        </w:rPr>
        <w:t>第十七条  法律、法规、规章规定实施行政许可应当听证的事项，或者本机关认为需要听证的其他涉及公共利益的重大行政许可事项，应启动本机关“重大行政执法决定法制审核机制”，并向社会公告，举行听证。</w:t>
      </w:r>
    </w:p>
    <w:p>
      <w:pPr>
        <w:pStyle w:val="2"/>
        <w:spacing w:before="0" w:beforeAutospacing="0" w:after="0" w:afterAutospacing="0" w:line="600" w:lineRule="exact"/>
        <w:ind w:firstLine="640" w:firstLineChars="200"/>
        <w:rPr>
          <w:rFonts w:ascii="仿宋_GB2312" w:eastAsia="仿宋_GB2312"/>
          <w:sz w:val="32"/>
          <w:szCs w:val="32"/>
        </w:rPr>
      </w:pPr>
      <w:r>
        <w:rPr>
          <w:rFonts w:hint="eastAsia" w:ascii="仿宋_GB2312" w:eastAsia="仿宋_GB2312"/>
          <w:sz w:val="32"/>
          <w:szCs w:val="32"/>
        </w:rPr>
        <w:t>第十八条  行政许可直接涉及申请人与他人之间重大利益关系的，各业务科室在作出行政许可决定前，启动本机关“重大行政执法决定法制审核机制”，并告知申请人、利害关系人享有要求听证的权利，出具《行政许可听证告知书》;申请人、利害关系人在被告知听证权利之日起五日内提出听证申请的，本机关应当在二十日内组织听证。</w:t>
      </w:r>
    </w:p>
    <w:p>
      <w:pPr>
        <w:pStyle w:val="2"/>
        <w:spacing w:before="0" w:beforeAutospacing="0" w:after="0" w:afterAutospacing="0" w:line="600" w:lineRule="exact"/>
        <w:ind w:firstLine="640" w:firstLineChars="200"/>
        <w:rPr>
          <w:rFonts w:ascii="仿宋_GB2312" w:eastAsia="仿宋_GB2312"/>
          <w:sz w:val="32"/>
          <w:szCs w:val="32"/>
        </w:rPr>
      </w:pPr>
      <w:r>
        <w:rPr>
          <w:rFonts w:hint="eastAsia" w:ascii="仿宋_GB2312" w:eastAsia="仿宋_GB2312"/>
          <w:sz w:val="32"/>
          <w:szCs w:val="32"/>
        </w:rPr>
        <w:t>第十九条  听证按照下列程序进行：</w:t>
      </w:r>
    </w:p>
    <w:p>
      <w:pPr>
        <w:pStyle w:val="2"/>
        <w:spacing w:before="0" w:beforeAutospacing="0" w:after="0" w:afterAutospacing="0" w:line="600" w:lineRule="exact"/>
        <w:ind w:firstLine="640" w:firstLineChars="200"/>
        <w:rPr>
          <w:rFonts w:ascii="仿宋_GB2312" w:eastAsia="仿宋_GB2312"/>
          <w:sz w:val="32"/>
          <w:szCs w:val="32"/>
        </w:rPr>
      </w:pPr>
      <w:r>
        <w:rPr>
          <w:rFonts w:hint="eastAsia" w:ascii="仿宋_GB2312" w:eastAsia="仿宋_GB2312"/>
          <w:sz w:val="32"/>
          <w:szCs w:val="32"/>
        </w:rPr>
        <w:t>(一)各业务科室应当于举行听证的七日前将举行听证的时间、地点通知申请人、利害关系人，出具《</w:t>
      </w:r>
      <w:r>
        <w:rPr>
          <w:rFonts w:hint="eastAsia" w:ascii="仿宋_GB2312" w:hAnsi="黑体" w:eastAsia="仿宋_GB2312" w:cs="黑体"/>
          <w:sz w:val="32"/>
          <w:szCs w:val="32"/>
        </w:rPr>
        <w:t>行政许可听证通知书</w:t>
      </w:r>
      <w:r>
        <w:rPr>
          <w:rFonts w:hint="eastAsia" w:ascii="仿宋_GB2312" w:eastAsia="仿宋_GB2312"/>
          <w:sz w:val="32"/>
          <w:szCs w:val="32"/>
        </w:rPr>
        <w:t>》，必要时发布《</w:t>
      </w:r>
      <w:r>
        <w:rPr>
          <w:rFonts w:hint="eastAsia" w:ascii="仿宋_GB2312" w:hAnsi="黑体" w:eastAsia="仿宋_GB2312" w:cs="黑体"/>
          <w:sz w:val="32"/>
          <w:szCs w:val="32"/>
        </w:rPr>
        <w:t>行政许可听证公告</w:t>
      </w:r>
      <w:r>
        <w:rPr>
          <w:rFonts w:hint="eastAsia" w:ascii="仿宋_GB2312" w:eastAsia="仿宋_GB2312"/>
          <w:sz w:val="32"/>
          <w:szCs w:val="32"/>
        </w:rPr>
        <w:t>》;</w:t>
      </w:r>
    </w:p>
    <w:p>
      <w:pPr>
        <w:pStyle w:val="2"/>
        <w:spacing w:before="0" w:beforeAutospacing="0" w:after="0" w:afterAutospacing="0" w:line="600" w:lineRule="exact"/>
        <w:ind w:firstLine="640" w:firstLineChars="200"/>
        <w:rPr>
          <w:rFonts w:ascii="仿宋_GB2312" w:eastAsia="仿宋_GB2312"/>
          <w:sz w:val="32"/>
          <w:szCs w:val="32"/>
        </w:rPr>
      </w:pPr>
      <w:r>
        <w:rPr>
          <w:rFonts w:hint="eastAsia" w:ascii="仿宋_GB2312" w:eastAsia="仿宋_GB2312"/>
          <w:sz w:val="32"/>
          <w:szCs w:val="32"/>
        </w:rPr>
        <w:t>(二)听证应当公开举行；</w:t>
      </w:r>
    </w:p>
    <w:p>
      <w:pPr>
        <w:pStyle w:val="2"/>
        <w:spacing w:before="0" w:beforeAutospacing="0" w:after="0" w:afterAutospacing="0" w:line="600" w:lineRule="exact"/>
        <w:ind w:firstLine="640" w:firstLineChars="200"/>
        <w:rPr>
          <w:rFonts w:ascii="仿宋_GB2312" w:eastAsia="仿宋_GB2312"/>
          <w:sz w:val="32"/>
          <w:szCs w:val="32"/>
        </w:rPr>
      </w:pPr>
      <w:r>
        <w:rPr>
          <w:rFonts w:hint="eastAsia" w:ascii="仿宋_GB2312" w:eastAsia="仿宋_GB2312"/>
          <w:sz w:val="32"/>
          <w:szCs w:val="32"/>
        </w:rPr>
        <w:t>(三)本机关指定承办该行政许可申请的执法人员以外的人员为听证主持人，申请人、利害关系人认为主持人与该行政许可事项有直接利害关系的，有权申请回避;</w:t>
      </w:r>
    </w:p>
    <w:p>
      <w:pPr>
        <w:pStyle w:val="2"/>
        <w:spacing w:before="0" w:beforeAutospacing="0" w:after="0" w:afterAutospacing="0" w:line="600" w:lineRule="exact"/>
        <w:ind w:firstLine="640" w:firstLineChars="200"/>
        <w:rPr>
          <w:rFonts w:ascii="仿宋_GB2312" w:eastAsia="仿宋_GB2312"/>
          <w:sz w:val="32"/>
          <w:szCs w:val="32"/>
        </w:rPr>
      </w:pPr>
      <w:r>
        <w:rPr>
          <w:rFonts w:hint="eastAsia" w:ascii="仿宋_GB2312" w:eastAsia="仿宋_GB2312"/>
          <w:sz w:val="32"/>
          <w:szCs w:val="32"/>
        </w:rPr>
        <w:t>(四)举行听证时，相关业务科室应当提供该行政许可审查意见的证据、理由，申请人、利害关系人可以提出证据，并进行申辩和质证;</w:t>
      </w:r>
    </w:p>
    <w:p>
      <w:pPr>
        <w:pStyle w:val="2"/>
        <w:spacing w:before="0" w:beforeAutospacing="0" w:after="0" w:afterAutospacing="0" w:line="600" w:lineRule="exact"/>
        <w:ind w:firstLine="640" w:firstLineChars="200"/>
        <w:rPr>
          <w:rFonts w:ascii="仿宋_GB2312" w:eastAsia="仿宋_GB2312"/>
          <w:sz w:val="32"/>
          <w:szCs w:val="32"/>
        </w:rPr>
      </w:pPr>
      <w:r>
        <w:rPr>
          <w:rFonts w:hint="eastAsia" w:ascii="仿宋_GB2312" w:eastAsia="仿宋_GB2312"/>
          <w:sz w:val="32"/>
          <w:szCs w:val="32"/>
        </w:rPr>
        <w:t>(五)听证应当制作笔录，听证笔录应当交听证参加人确认无误后签字或者盖章。</w:t>
      </w:r>
    </w:p>
    <w:p>
      <w:pPr>
        <w:pStyle w:val="2"/>
        <w:spacing w:before="0" w:beforeAutospacing="0" w:after="0" w:afterAutospacing="0" w:line="600" w:lineRule="exact"/>
        <w:ind w:firstLine="640" w:firstLineChars="200"/>
        <w:rPr>
          <w:rFonts w:ascii="仿宋_GB2312" w:eastAsia="仿宋_GB2312"/>
          <w:sz w:val="32"/>
          <w:szCs w:val="32"/>
        </w:rPr>
      </w:pPr>
      <w:r>
        <w:rPr>
          <w:rFonts w:hint="eastAsia" w:ascii="仿宋_GB2312" w:eastAsia="仿宋_GB2312"/>
          <w:sz w:val="32"/>
          <w:szCs w:val="32"/>
        </w:rPr>
        <w:t>第二十条  本机关应当根据听证笔录，作出行政许可决定。</w:t>
      </w:r>
    </w:p>
    <w:p>
      <w:pPr>
        <w:widowControl/>
        <w:spacing w:beforeLines="50" w:line="600" w:lineRule="exact"/>
        <w:jc w:val="center"/>
        <w:rPr>
          <w:rFonts w:ascii="黑体" w:hAnsi="黑体" w:eastAsia="黑体"/>
          <w:sz w:val="32"/>
          <w:szCs w:val="32"/>
        </w:rPr>
      </w:pPr>
      <w:r>
        <w:rPr>
          <w:rFonts w:hint="eastAsia" w:ascii="黑体" w:hAnsi="黑体" w:eastAsia="黑体"/>
          <w:sz w:val="32"/>
          <w:szCs w:val="32"/>
        </w:rPr>
        <w:t>第六章  决定</w:t>
      </w:r>
    </w:p>
    <w:p>
      <w:pPr>
        <w:pStyle w:val="2"/>
        <w:spacing w:before="0" w:beforeAutospacing="0" w:after="0" w:afterAutospacing="0" w:line="600" w:lineRule="exact"/>
        <w:ind w:firstLine="636" w:firstLineChars="199"/>
        <w:rPr>
          <w:rFonts w:ascii="仿宋_GB2312" w:eastAsia="仿宋_GB2312"/>
          <w:sz w:val="32"/>
          <w:szCs w:val="32"/>
        </w:rPr>
      </w:pPr>
      <w:r>
        <w:rPr>
          <w:rFonts w:hint="eastAsia" w:ascii="仿宋_GB2312" w:eastAsia="仿宋_GB2312"/>
          <w:sz w:val="32"/>
          <w:szCs w:val="32"/>
        </w:rPr>
        <w:t>第二十一条  申请人的申请符合法定条件、标准的，应当依法作出准予行政许可的书面决定。</w:t>
      </w:r>
    </w:p>
    <w:p>
      <w:pPr>
        <w:pStyle w:val="2"/>
        <w:spacing w:before="0" w:beforeAutospacing="0" w:after="0" w:afterAutospacing="0" w:line="600" w:lineRule="exact"/>
        <w:ind w:firstLine="640" w:firstLineChars="200"/>
        <w:rPr>
          <w:rFonts w:ascii="仿宋_GB2312" w:eastAsia="仿宋_GB2312"/>
          <w:sz w:val="32"/>
          <w:szCs w:val="32"/>
        </w:rPr>
      </w:pPr>
      <w:r>
        <w:rPr>
          <w:rFonts w:hint="eastAsia" w:ascii="仿宋_GB2312" w:eastAsia="仿宋_GB2312"/>
          <w:sz w:val="32"/>
          <w:szCs w:val="32"/>
        </w:rPr>
        <w:t>第二十二条  依法作出不予行政许可的书面决定的，应当说明理由，并告知申请人享有依法申请行政复议或者提起行政诉讼的权利。</w:t>
      </w:r>
    </w:p>
    <w:p>
      <w:pPr>
        <w:pStyle w:val="2"/>
        <w:spacing w:before="0" w:beforeAutospacing="0" w:after="0" w:afterAutospacing="0" w:line="600" w:lineRule="exact"/>
        <w:ind w:firstLine="640" w:firstLineChars="200"/>
        <w:rPr>
          <w:rFonts w:ascii="仿宋_GB2312" w:eastAsia="仿宋_GB2312"/>
          <w:sz w:val="32"/>
          <w:szCs w:val="32"/>
        </w:rPr>
      </w:pPr>
    </w:p>
    <w:p>
      <w:pPr>
        <w:pStyle w:val="2"/>
        <w:spacing w:beforeLines="50" w:beforeAutospacing="0" w:after="0" w:afterAutospacing="0" w:line="600" w:lineRule="exact"/>
        <w:jc w:val="center"/>
        <w:rPr>
          <w:rFonts w:ascii="黑体" w:hAnsi="黑体" w:eastAsia="黑体"/>
          <w:sz w:val="32"/>
          <w:szCs w:val="32"/>
        </w:rPr>
      </w:pPr>
      <w:r>
        <w:rPr>
          <w:rFonts w:hint="eastAsia" w:ascii="黑体" w:hAnsi="黑体" w:eastAsia="黑体"/>
          <w:sz w:val="32"/>
          <w:szCs w:val="32"/>
        </w:rPr>
        <w:t>第七章  送达</w:t>
      </w:r>
    </w:p>
    <w:p>
      <w:pPr>
        <w:pStyle w:val="2"/>
        <w:spacing w:before="0" w:beforeAutospacing="0" w:after="0" w:afterAutospacing="0" w:line="600" w:lineRule="exact"/>
        <w:ind w:firstLine="630"/>
        <w:rPr>
          <w:rFonts w:ascii="仿宋_GB2312" w:eastAsia="仿宋_GB2312"/>
          <w:sz w:val="32"/>
          <w:szCs w:val="32"/>
        </w:rPr>
      </w:pPr>
      <w:r>
        <w:rPr>
          <w:rFonts w:hint="eastAsia" w:ascii="仿宋_GB2312" w:eastAsia="仿宋_GB2312"/>
          <w:sz w:val="32"/>
          <w:szCs w:val="32"/>
        </w:rPr>
        <w:t>第二十三条  依法作出行政许可决定的，除与相关单位共用一套业务系统，信息可实时推送外，各业务科室应当在作出行政许可决定1个工作日</w:t>
      </w:r>
      <w:r>
        <w:rPr>
          <w:rFonts w:ascii="仿宋_GB2312" w:eastAsia="仿宋_GB2312"/>
          <w:sz w:val="32"/>
          <w:szCs w:val="32"/>
        </w:rPr>
        <w:t>将行政许可有关信息通过“威海电子政务办公平台”推送至相关单位或个人</w:t>
      </w:r>
      <w:r>
        <w:rPr>
          <w:rFonts w:hint="eastAsia" w:ascii="仿宋_GB2312" w:eastAsia="仿宋_GB2312"/>
          <w:sz w:val="32"/>
          <w:szCs w:val="32"/>
        </w:rPr>
        <w:t>。</w:t>
      </w:r>
    </w:p>
    <w:p>
      <w:pPr>
        <w:pStyle w:val="2"/>
        <w:spacing w:before="0" w:beforeAutospacing="0" w:after="0" w:afterAutospacing="0" w:line="600" w:lineRule="exact"/>
        <w:ind w:firstLine="640" w:firstLineChars="200"/>
        <w:rPr>
          <w:rFonts w:ascii="仿宋_GB2312" w:eastAsia="仿宋_GB2312"/>
          <w:sz w:val="32"/>
          <w:szCs w:val="32"/>
        </w:rPr>
      </w:pPr>
      <w:r>
        <w:rPr>
          <w:rFonts w:hint="eastAsia" w:ascii="仿宋_GB2312" w:eastAsia="仿宋_GB2312"/>
          <w:sz w:val="32"/>
          <w:szCs w:val="32"/>
        </w:rPr>
        <w:t>第二十四条  对作出准予行政许可决定，需要颁发行政许可证件的，应当在承诺期限内向申请人颁发相关证件，颁发证件时应留存复印件，并由申请人或者其委托代理人在《行政许可文书送达回证》上签字确认，</w:t>
      </w:r>
      <w:r>
        <w:rPr>
          <w:rFonts w:ascii="仿宋_GB2312" w:eastAsia="仿宋_GB2312"/>
          <w:sz w:val="32"/>
          <w:szCs w:val="32"/>
        </w:rPr>
        <w:t>通过邮寄方式送达的，留存送达单据</w:t>
      </w:r>
      <w:r>
        <w:rPr>
          <w:rFonts w:hint="eastAsia" w:ascii="仿宋_GB2312" w:eastAsia="仿宋_GB2312"/>
          <w:sz w:val="32"/>
          <w:szCs w:val="32"/>
        </w:rPr>
        <w:t>。</w:t>
      </w:r>
    </w:p>
    <w:p>
      <w:pPr>
        <w:pStyle w:val="2"/>
        <w:spacing w:before="0" w:beforeAutospacing="0" w:after="0" w:afterAutospacing="0" w:line="600" w:lineRule="exact"/>
        <w:ind w:firstLine="630"/>
        <w:rPr>
          <w:rFonts w:ascii="仿宋_GB2312" w:eastAsia="仿宋_GB2312"/>
          <w:sz w:val="32"/>
          <w:szCs w:val="32"/>
        </w:rPr>
      </w:pPr>
      <w:r>
        <w:rPr>
          <w:rFonts w:hint="eastAsia" w:ascii="仿宋_GB2312" w:eastAsia="仿宋_GB2312"/>
          <w:sz w:val="32"/>
          <w:szCs w:val="32"/>
        </w:rPr>
        <w:t>第二十五条  本规范自印发之日起施行。</w:t>
      </w:r>
    </w:p>
    <w:p/>
    <w:sectPr>
      <w:pgSz w:w="11906" w:h="16838"/>
      <w:pgMar w:top="2098" w:right="1474" w:bottom="1701" w:left="1587"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73120CB"/>
    <w:multiLevelType w:val="multilevel"/>
    <w:tmpl w:val="073120CB"/>
    <w:lvl w:ilvl="0" w:tentative="0">
      <w:start w:val="1"/>
      <w:numFmt w:val="japaneseCounting"/>
      <w:lvlText w:val="第%1章"/>
      <w:lvlJc w:val="left"/>
      <w:pPr>
        <w:ind w:left="1080" w:hanging="108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7"/>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U0NTNiNTg2YTBiZjhiMzY4Mzg1OGQ2ZmRmMzBlOWQifQ=="/>
  </w:docVars>
  <w:rsids>
    <w:rsidRoot w:val="29D67293"/>
    <w:rsid w:val="062E55BB"/>
    <w:rsid w:val="29D6729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5">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Office_11.1.0.12302_F1E327BC-269C-435d-A152-05C5408002CA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2022-08-16T08:46:00Z</dcterms:created>
  <dc:creator>林达</dc:creator>
  <cp:lastModifiedBy>林达</cp:lastModifiedBy>
  <dcterms:modified xsi:type="dcterms:W3CDTF">2022-08-16T08:47:55Z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2052-11.1.0.12302</vt:lpwstr>
  </property>
  <property fmtid="{D5CDD505-2E9C-101B-9397-08002B2CF9AE}" pid="3" name="ICV">
    <vt:lpwstr>163E7FDDC5CA4F1F87CEC1223D5C0351</vt:lpwstr>
  </property>
</Properties>
</file>