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val="0"/>
        <w:topLinePunct w:val="0"/>
        <w:autoSpaceDE w:val="0"/>
        <w:autoSpaceDN w:val="0"/>
        <w:bidi w:val="0"/>
        <w:adjustRightInd w:val="0"/>
        <w:snapToGrid w:val="0"/>
        <w:spacing w:line="560" w:lineRule="exact"/>
        <w:ind w:right="0"/>
        <w:jc w:val="center"/>
        <w:textAlignment w:val="baseline"/>
        <w:rPr>
          <w:rFonts w:hint="eastAsia" w:ascii="宋体" w:hAnsi="宋体" w:eastAsia="方正小标宋简体" w:cs="方正小标宋简体"/>
          <w:color w:val="auto"/>
          <w:spacing w:val="9"/>
          <w:sz w:val="44"/>
          <w:szCs w:val="44"/>
        </w:rPr>
      </w:pPr>
    </w:p>
    <w:p>
      <w:pPr>
        <w:keepNext w:val="0"/>
        <w:keepLines w:val="0"/>
        <w:pageBreakBefore w:val="0"/>
        <w:widowControl/>
        <w:kinsoku/>
        <w:wordWrap/>
        <w:overflowPunct w:val="0"/>
        <w:topLinePunct w:val="0"/>
        <w:autoSpaceDE w:val="0"/>
        <w:autoSpaceDN w:val="0"/>
        <w:bidi w:val="0"/>
        <w:adjustRightInd w:val="0"/>
        <w:snapToGrid w:val="0"/>
        <w:spacing w:line="560" w:lineRule="exact"/>
        <w:ind w:right="0"/>
        <w:jc w:val="center"/>
        <w:textAlignment w:val="baseline"/>
        <w:rPr>
          <w:rFonts w:hint="eastAsia" w:ascii="宋体" w:hAnsi="宋体" w:eastAsia="方正小标宋简体" w:cs="方正小标宋简体"/>
          <w:color w:val="auto"/>
          <w:spacing w:val="0"/>
          <w:sz w:val="44"/>
          <w:szCs w:val="44"/>
        </w:rPr>
      </w:pPr>
      <w:r>
        <w:rPr>
          <w:rFonts w:hint="eastAsia" w:ascii="宋体" w:hAnsi="宋体" w:eastAsia="方正小标宋简体" w:cs="方正小标宋简体"/>
          <w:color w:val="auto"/>
          <w:spacing w:val="9"/>
          <w:sz w:val="44"/>
          <w:szCs w:val="44"/>
        </w:rPr>
        <w:t>威海临港经济技术开发区汪疃镇人民政府</w:t>
      </w:r>
      <w:r>
        <w:rPr>
          <w:rFonts w:hint="eastAsia" w:ascii="宋体" w:hAnsi="宋体" w:eastAsia="方正小标宋简体" w:cs="方正小标宋简体"/>
          <w:color w:val="auto"/>
          <w:spacing w:val="0"/>
          <w:sz w:val="44"/>
          <w:szCs w:val="44"/>
        </w:rPr>
        <w:t>202</w:t>
      </w:r>
      <w:r>
        <w:rPr>
          <w:rFonts w:hint="eastAsia" w:ascii="宋体" w:hAnsi="宋体" w:eastAsia="方正小标宋简体" w:cs="方正小标宋简体"/>
          <w:color w:val="auto"/>
          <w:spacing w:val="0"/>
          <w:sz w:val="44"/>
          <w:szCs w:val="44"/>
          <w:lang w:val="en-US" w:eastAsia="zh-CN"/>
        </w:rPr>
        <w:t>2</w:t>
      </w:r>
      <w:r>
        <w:rPr>
          <w:rFonts w:hint="eastAsia" w:ascii="宋体" w:hAnsi="宋体" w:eastAsia="方正小标宋简体" w:cs="方正小标宋简体"/>
          <w:color w:val="auto"/>
          <w:spacing w:val="0"/>
          <w:sz w:val="44"/>
          <w:szCs w:val="44"/>
        </w:rPr>
        <w:t>年政府信息公开工作年度报告</w:t>
      </w:r>
    </w:p>
    <w:p>
      <w:pPr>
        <w:keepNext w:val="0"/>
        <w:keepLines w:val="0"/>
        <w:pageBreakBefore w:val="0"/>
        <w:widowControl/>
        <w:kinsoku/>
        <w:wordWrap/>
        <w:overflowPunct w:val="0"/>
        <w:topLinePunct w:val="0"/>
        <w:autoSpaceDE w:val="0"/>
        <w:autoSpaceDN w:val="0"/>
        <w:bidi w:val="0"/>
        <w:adjustRightInd w:val="0"/>
        <w:snapToGrid w:val="0"/>
        <w:spacing w:line="560" w:lineRule="exact"/>
        <w:ind w:right="515"/>
        <w:jc w:val="both"/>
        <w:textAlignment w:val="baseline"/>
        <w:rPr>
          <w:rFonts w:hint="eastAsia" w:ascii="宋体" w:hAnsi="宋体" w:eastAsia="方正小标宋简体" w:cs="方正小标宋简体"/>
          <w:color w:val="auto"/>
          <w:spacing w:val="0"/>
          <w:sz w:val="44"/>
          <w:szCs w:val="44"/>
        </w:rPr>
      </w:pPr>
    </w:p>
    <w:p>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jc w:val="both"/>
        <w:textAlignment w:val="baseline"/>
        <w:rPr>
          <w:rFonts w:hint="eastAsia" w:ascii="宋体" w:hAnsi="宋体" w:eastAsia="仿宋_GB2312" w:cs="仿宋_GB2312"/>
          <w:i w:val="0"/>
          <w:caps w:val="0"/>
          <w:color w:val="auto"/>
          <w:spacing w:val="0"/>
          <w:sz w:val="32"/>
          <w:szCs w:val="32"/>
        </w:rPr>
      </w:pPr>
      <w:r>
        <w:rPr>
          <w:rFonts w:hint="eastAsia" w:ascii="宋体" w:hAnsi="宋体" w:eastAsia="仿宋_GB2312" w:cs="仿宋_GB2312"/>
          <w:i w:val="0"/>
          <w:caps w:val="0"/>
          <w:color w:val="auto"/>
          <w:spacing w:val="0"/>
          <w:sz w:val="32"/>
          <w:szCs w:val="32"/>
        </w:rPr>
        <w:t>根据《中华人民共和国政府信息公开条例》（以下简称《条例》）、《山东省政府信息公开办法》和区管委转发《关于报送2022年政府信息公开工作年度报告的通知》的要求，按照市政府、区管委统一部署，现公布威海临港经济技术开发区</w:t>
      </w:r>
      <w:r>
        <w:rPr>
          <w:rFonts w:hint="eastAsia" w:ascii="宋体" w:hAnsi="宋体" w:eastAsia="仿宋_GB2312" w:cs="仿宋_GB2312"/>
          <w:i w:val="0"/>
          <w:caps w:val="0"/>
          <w:color w:val="auto"/>
          <w:spacing w:val="0"/>
          <w:sz w:val="32"/>
          <w:szCs w:val="32"/>
          <w:lang w:eastAsia="zh-CN"/>
        </w:rPr>
        <w:t>汪疃</w:t>
      </w:r>
      <w:r>
        <w:rPr>
          <w:rFonts w:hint="eastAsia" w:ascii="宋体" w:hAnsi="宋体" w:eastAsia="仿宋_GB2312" w:cs="仿宋_GB2312"/>
          <w:i w:val="0"/>
          <w:caps w:val="0"/>
          <w:color w:val="auto"/>
          <w:spacing w:val="0"/>
          <w:sz w:val="32"/>
          <w:szCs w:val="32"/>
        </w:rPr>
        <w:t>镇人民政府2022年度政府信息公开工作年度报告。本报告中所列数据的统计时限自2022年1月1日起至2022年12月31日止。如对本年度报告有任何疑问，请与</w:t>
      </w:r>
      <w:r>
        <w:rPr>
          <w:rFonts w:hint="eastAsia" w:ascii="宋体" w:hAnsi="宋体" w:eastAsia="仿宋_GB2312" w:cs="仿宋_GB2312"/>
          <w:i w:val="0"/>
          <w:caps w:val="0"/>
          <w:color w:val="auto"/>
          <w:spacing w:val="0"/>
          <w:sz w:val="32"/>
          <w:szCs w:val="32"/>
          <w:lang w:eastAsia="zh-CN"/>
        </w:rPr>
        <w:t>汪疃</w:t>
      </w:r>
      <w:r>
        <w:rPr>
          <w:rFonts w:hint="eastAsia" w:ascii="宋体" w:hAnsi="宋体" w:eastAsia="仿宋_GB2312" w:cs="仿宋_GB2312"/>
          <w:i w:val="0"/>
          <w:caps w:val="0"/>
          <w:color w:val="auto"/>
          <w:spacing w:val="0"/>
          <w:sz w:val="32"/>
          <w:szCs w:val="32"/>
        </w:rPr>
        <w:t>镇党政办公室联系。</w:t>
      </w:r>
    </w:p>
    <w:p>
      <w:pPr>
        <w:keepNext w:val="0"/>
        <w:keepLines w:val="0"/>
        <w:pageBreakBefore w:val="0"/>
        <w:widowControl/>
        <w:kinsoku/>
        <w:wordWrap/>
        <w:overflowPunct w:val="0"/>
        <w:topLinePunct w:val="0"/>
        <w:autoSpaceDE w:val="0"/>
        <w:autoSpaceDN w:val="0"/>
        <w:bidi w:val="0"/>
        <w:adjustRightInd w:val="0"/>
        <w:snapToGrid w:val="0"/>
        <w:spacing w:line="560" w:lineRule="exact"/>
        <w:ind w:firstLine="647"/>
        <w:jc w:val="both"/>
        <w:textAlignment w:val="baseline"/>
        <w:rPr>
          <w:rFonts w:ascii="宋体" w:hAnsi="宋体" w:eastAsia="黑体" w:cs="黑体"/>
          <w:color w:val="auto"/>
          <w:spacing w:val="0"/>
          <w:sz w:val="31"/>
          <w:szCs w:val="31"/>
        </w:rPr>
      </w:pPr>
      <w:r>
        <w:rPr>
          <w:rFonts w:ascii="宋体" w:hAnsi="宋体" w:eastAsia="黑体" w:cs="黑体"/>
          <w:color w:val="auto"/>
          <w:spacing w:val="0"/>
          <w:sz w:val="31"/>
          <w:szCs w:val="31"/>
        </w:rPr>
        <w:t>一、总体情况</w:t>
      </w:r>
    </w:p>
    <w:p>
      <w:pPr>
        <w:keepNext w:val="0"/>
        <w:keepLines w:val="0"/>
        <w:pageBreakBefore w:val="0"/>
        <w:widowControl/>
        <w:kinsoku/>
        <w:wordWrap/>
        <w:overflowPunct w:val="0"/>
        <w:topLinePunct w:val="0"/>
        <w:autoSpaceDE w:val="0"/>
        <w:autoSpaceDN w:val="0"/>
        <w:bidi w:val="0"/>
        <w:adjustRightInd w:val="0"/>
        <w:snapToGrid w:val="0"/>
        <w:spacing w:line="560" w:lineRule="exact"/>
        <w:ind w:firstLine="634"/>
        <w:jc w:val="both"/>
        <w:textAlignment w:val="baseline"/>
        <w:rPr>
          <w:rFonts w:hint="eastAsia" w:ascii="宋体" w:hAnsi="宋体" w:eastAsia="仿宋_GB2312" w:cs="仿宋_GB2312"/>
          <w:color w:val="auto"/>
          <w:spacing w:val="0"/>
          <w:sz w:val="32"/>
          <w:szCs w:val="32"/>
        </w:rPr>
      </w:pPr>
      <w:r>
        <w:rPr>
          <w:rFonts w:hint="eastAsia" w:ascii="宋体" w:hAnsi="宋体" w:eastAsia="仿宋_GB2312" w:cs="仿宋_GB2312"/>
          <w:color w:val="auto"/>
          <w:spacing w:val="0"/>
          <w:sz w:val="32"/>
          <w:szCs w:val="32"/>
        </w:rPr>
        <w:t>我镇202</w:t>
      </w:r>
      <w:r>
        <w:rPr>
          <w:rFonts w:hint="eastAsia" w:ascii="宋体" w:hAnsi="宋体" w:eastAsia="仿宋_GB2312" w:cs="仿宋_GB2312"/>
          <w:color w:val="auto"/>
          <w:spacing w:val="0"/>
          <w:sz w:val="32"/>
          <w:szCs w:val="32"/>
          <w:lang w:val="en-US" w:eastAsia="zh-CN"/>
        </w:rPr>
        <w:t>2</w:t>
      </w:r>
      <w:r>
        <w:rPr>
          <w:rFonts w:hint="eastAsia" w:ascii="宋体" w:hAnsi="宋体" w:eastAsia="仿宋_GB2312" w:cs="仿宋_GB2312"/>
          <w:color w:val="auto"/>
          <w:spacing w:val="0"/>
          <w:sz w:val="32"/>
          <w:szCs w:val="32"/>
        </w:rPr>
        <w:t>年严格遵循“以公开为原则，不公开为例外”的原则，逐步健全完善政府信息公开工作机制，扎实推进全镇政务公开工作，并在信息公开的质量和形式等方面有极大提高，较好地满足了群众对政府信息的需求。</w:t>
      </w:r>
    </w:p>
    <w:p>
      <w:pPr>
        <w:keepNext w:val="0"/>
        <w:keepLines w:val="0"/>
        <w:pageBreakBefore w:val="0"/>
        <w:widowControl/>
        <w:kinsoku/>
        <w:wordWrap/>
        <w:overflowPunct w:val="0"/>
        <w:topLinePunct w:val="0"/>
        <w:autoSpaceDE w:val="0"/>
        <w:autoSpaceDN w:val="0"/>
        <w:bidi w:val="0"/>
        <w:adjustRightInd w:val="0"/>
        <w:snapToGrid w:val="0"/>
        <w:spacing w:line="560" w:lineRule="exact"/>
        <w:ind w:firstLine="634"/>
        <w:jc w:val="both"/>
        <w:textAlignment w:val="baseline"/>
        <w:rPr>
          <w:rFonts w:hint="eastAsia" w:ascii="宋体" w:hAnsi="宋体" w:eastAsia="仿宋_GB2312" w:cs="仿宋_GB2312"/>
          <w:color w:val="auto"/>
          <w:spacing w:val="0"/>
          <w:sz w:val="32"/>
          <w:szCs w:val="32"/>
        </w:rPr>
      </w:pPr>
      <w:r>
        <w:rPr>
          <w:rFonts w:hint="eastAsia" w:ascii="宋体" w:hAnsi="宋体" w:eastAsia="仿宋_GB2312" w:cs="仿宋_GB2312"/>
          <w:color w:val="auto"/>
          <w:spacing w:val="0"/>
          <w:sz w:val="32"/>
          <w:szCs w:val="32"/>
        </w:rPr>
        <w:t>（一）主动公开</w:t>
      </w:r>
    </w:p>
    <w:p>
      <w:pPr>
        <w:keepNext w:val="0"/>
        <w:keepLines w:val="0"/>
        <w:pageBreakBefore w:val="0"/>
        <w:widowControl/>
        <w:kinsoku/>
        <w:wordWrap/>
        <w:overflowPunct w:val="0"/>
        <w:topLinePunct w:val="0"/>
        <w:autoSpaceDE w:val="0"/>
        <w:autoSpaceDN w:val="0"/>
        <w:bidi w:val="0"/>
        <w:adjustRightInd w:val="0"/>
        <w:snapToGrid w:val="0"/>
        <w:spacing w:line="560" w:lineRule="exact"/>
        <w:ind w:firstLine="640"/>
        <w:jc w:val="both"/>
        <w:textAlignment w:val="baseline"/>
        <w:rPr>
          <w:rFonts w:hint="eastAsia" w:ascii="宋体" w:hAnsi="宋体" w:eastAsia="仿宋_GB2312" w:cs="仿宋_GB2312"/>
          <w:color w:val="auto"/>
          <w:spacing w:val="0"/>
          <w:sz w:val="32"/>
          <w:szCs w:val="32"/>
        </w:rPr>
      </w:pPr>
      <w:r>
        <w:rPr>
          <w:rFonts w:hint="eastAsia" w:ascii="宋体" w:hAnsi="宋体" w:eastAsia="仿宋_GB2312" w:cs="仿宋_GB2312"/>
          <w:color w:val="auto"/>
          <w:spacing w:val="0"/>
          <w:sz w:val="32"/>
          <w:szCs w:val="32"/>
        </w:rPr>
        <w:t>2022年，我镇按照《中华人民共和国政府信息公开条例》规定和我镇职责在政府信息公开平台主动公开信息共</w:t>
      </w:r>
      <w:r>
        <w:rPr>
          <w:rFonts w:hint="eastAsia" w:ascii="宋体" w:hAnsi="宋体" w:eastAsia="仿宋_GB2312" w:cs="仿宋_GB2312"/>
          <w:color w:val="auto"/>
          <w:spacing w:val="0"/>
          <w:sz w:val="32"/>
          <w:szCs w:val="32"/>
          <w:lang w:val="en-US" w:eastAsia="zh-CN"/>
        </w:rPr>
        <w:t>26</w:t>
      </w:r>
      <w:r>
        <w:rPr>
          <w:rFonts w:hint="eastAsia" w:ascii="宋体" w:hAnsi="宋体" w:eastAsia="仿宋_GB2312" w:cs="仿宋_GB2312"/>
          <w:color w:val="auto"/>
          <w:spacing w:val="0"/>
          <w:sz w:val="32"/>
          <w:szCs w:val="32"/>
        </w:rPr>
        <w:t>条，其中包括</w:t>
      </w:r>
      <w:r>
        <w:rPr>
          <w:rFonts w:hint="eastAsia" w:ascii="宋体" w:hAnsi="宋体" w:eastAsia="仿宋_GB2312" w:cs="仿宋_GB2312"/>
          <w:color w:val="auto"/>
          <w:spacing w:val="0"/>
          <w:sz w:val="32"/>
          <w:szCs w:val="32"/>
          <w:lang w:eastAsia="zh-CN"/>
        </w:rPr>
        <w:t>政策汇编类</w:t>
      </w:r>
      <w:r>
        <w:rPr>
          <w:rFonts w:hint="eastAsia" w:ascii="宋体" w:hAnsi="宋体" w:eastAsia="仿宋_GB2312" w:cs="仿宋_GB2312"/>
          <w:color w:val="auto"/>
          <w:spacing w:val="0"/>
          <w:sz w:val="32"/>
          <w:szCs w:val="32"/>
        </w:rPr>
        <w:t>信息</w:t>
      </w:r>
      <w:r>
        <w:rPr>
          <w:rFonts w:hint="eastAsia" w:ascii="宋体" w:hAnsi="宋体" w:eastAsia="仿宋_GB2312" w:cs="仿宋_GB2312"/>
          <w:color w:val="auto"/>
          <w:spacing w:val="0"/>
          <w:sz w:val="32"/>
          <w:szCs w:val="32"/>
          <w:lang w:val="en-US" w:eastAsia="zh-CN"/>
        </w:rPr>
        <w:t>1</w:t>
      </w:r>
      <w:r>
        <w:rPr>
          <w:rFonts w:hint="eastAsia" w:ascii="宋体" w:hAnsi="宋体" w:eastAsia="仿宋_GB2312" w:cs="仿宋_GB2312"/>
          <w:color w:val="auto"/>
          <w:spacing w:val="0"/>
          <w:sz w:val="32"/>
          <w:szCs w:val="32"/>
        </w:rPr>
        <w:t>条，</w:t>
      </w:r>
      <w:r>
        <w:rPr>
          <w:rFonts w:hint="eastAsia" w:ascii="宋体" w:hAnsi="宋体" w:eastAsia="仿宋_GB2312" w:cs="仿宋_GB2312"/>
          <w:color w:val="auto"/>
          <w:spacing w:val="0"/>
          <w:sz w:val="32"/>
          <w:szCs w:val="32"/>
          <w:lang w:eastAsia="zh-CN"/>
        </w:rPr>
        <w:t>年度计划</w:t>
      </w:r>
      <w:r>
        <w:rPr>
          <w:rFonts w:hint="eastAsia" w:ascii="宋体" w:hAnsi="宋体" w:eastAsia="仿宋_GB2312" w:cs="仿宋_GB2312"/>
          <w:color w:val="auto"/>
          <w:spacing w:val="0"/>
          <w:sz w:val="32"/>
          <w:szCs w:val="32"/>
        </w:rPr>
        <w:t>类信息1条，</w:t>
      </w:r>
      <w:r>
        <w:rPr>
          <w:rFonts w:hint="eastAsia" w:ascii="宋体" w:hAnsi="宋体" w:eastAsia="仿宋_GB2312" w:cs="仿宋_GB2312"/>
          <w:color w:val="auto"/>
          <w:spacing w:val="0"/>
          <w:sz w:val="32"/>
          <w:szCs w:val="32"/>
          <w:lang w:eastAsia="zh-CN"/>
        </w:rPr>
        <w:t>应急管理</w:t>
      </w:r>
      <w:r>
        <w:rPr>
          <w:rFonts w:hint="eastAsia" w:ascii="宋体" w:hAnsi="宋体" w:eastAsia="仿宋_GB2312" w:cs="仿宋_GB2312"/>
          <w:color w:val="auto"/>
          <w:spacing w:val="0"/>
          <w:sz w:val="32"/>
          <w:szCs w:val="32"/>
        </w:rPr>
        <w:t>类信息</w:t>
      </w:r>
      <w:r>
        <w:rPr>
          <w:rFonts w:hint="eastAsia" w:ascii="宋体" w:hAnsi="宋体" w:eastAsia="仿宋_GB2312" w:cs="仿宋_GB2312"/>
          <w:color w:val="auto"/>
          <w:spacing w:val="0"/>
          <w:sz w:val="32"/>
          <w:szCs w:val="32"/>
          <w:lang w:val="en-US" w:eastAsia="zh-CN"/>
        </w:rPr>
        <w:t>1</w:t>
      </w:r>
      <w:r>
        <w:rPr>
          <w:rFonts w:hint="eastAsia" w:ascii="宋体" w:hAnsi="宋体" w:eastAsia="仿宋_GB2312" w:cs="仿宋_GB2312"/>
          <w:color w:val="auto"/>
          <w:spacing w:val="0"/>
          <w:sz w:val="32"/>
          <w:szCs w:val="32"/>
        </w:rPr>
        <w:t>条，业务工作类信息</w:t>
      </w:r>
      <w:r>
        <w:rPr>
          <w:rFonts w:hint="eastAsia" w:ascii="宋体" w:hAnsi="宋体" w:eastAsia="仿宋_GB2312" w:cs="仿宋_GB2312"/>
          <w:color w:val="auto"/>
          <w:spacing w:val="0"/>
          <w:sz w:val="32"/>
          <w:szCs w:val="32"/>
          <w:lang w:val="en-US" w:eastAsia="zh-CN"/>
        </w:rPr>
        <w:t>18</w:t>
      </w:r>
      <w:r>
        <w:rPr>
          <w:rFonts w:hint="eastAsia" w:ascii="宋体" w:hAnsi="宋体" w:eastAsia="仿宋_GB2312" w:cs="仿宋_GB2312"/>
          <w:color w:val="auto"/>
          <w:spacing w:val="0"/>
          <w:sz w:val="32"/>
          <w:szCs w:val="32"/>
        </w:rPr>
        <w:t>条，财政预决算信息2条，其他类信息</w:t>
      </w:r>
      <w:r>
        <w:rPr>
          <w:rFonts w:hint="eastAsia" w:ascii="宋体" w:hAnsi="宋体" w:eastAsia="仿宋_GB2312" w:cs="仿宋_GB2312"/>
          <w:color w:val="auto"/>
          <w:spacing w:val="0"/>
          <w:sz w:val="32"/>
          <w:szCs w:val="32"/>
          <w:lang w:val="en-US" w:eastAsia="zh-CN"/>
        </w:rPr>
        <w:t>3</w:t>
      </w:r>
      <w:r>
        <w:rPr>
          <w:rFonts w:hint="eastAsia" w:ascii="宋体" w:hAnsi="宋体" w:eastAsia="仿宋_GB2312" w:cs="仿宋_GB2312"/>
          <w:color w:val="auto"/>
          <w:spacing w:val="0"/>
          <w:sz w:val="32"/>
          <w:szCs w:val="32"/>
        </w:rPr>
        <w:t>条。</w:t>
      </w:r>
    </w:p>
    <w:p>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jc w:val="both"/>
        <w:textAlignment w:val="baseline"/>
        <w:rPr>
          <w:rFonts w:hint="eastAsia" w:ascii="宋体" w:hAnsi="宋体" w:eastAsia="仿宋_GB2312" w:cs="仿宋_GB2312"/>
          <w:color w:val="auto"/>
          <w:spacing w:val="0"/>
          <w:sz w:val="32"/>
          <w:szCs w:val="32"/>
        </w:rPr>
      </w:pPr>
      <w:r>
        <w:rPr>
          <w:rFonts w:hint="eastAsia" w:ascii="宋体" w:hAnsi="宋体" w:eastAsia="仿宋_GB2312" w:cs="仿宋_GB2312"/>
          <w:color w:val="auto"/>
          <w:spacing w:val="0"/>
          <w:sz w:val="32"/>
          <w:szCs w:val="32"/>
        </w:rPr>
        <w:t>（二）依申请公开情况。</w:t>
      </w:r>
    </w:p>
    <w:p>
      <w:pPr>
        <w:keepNext w:val="0"/>
        <w:keepLines w:val="0"/>
        <w:pageBreakBefore w:val="0"/>
        <w:widowControl/>
        <w:kinsoku/>
        <w:wordWrap/>
        <w:overflowPunct w:val="0"/>
        <w:topLinePunct w:val="0"/>
        <w:autoSpaceDE w:val="0"/>
        <w:autoSpaceDN w:val="0"/>
        <w:bidi w:val="0"/>
        <w:adjustRightInd w:val="0"/>
        <w:snapToGrid w:val="0"/>
        <w:spacing w:line="560" w:lineRule="exact"/>
        <w:ind w:left="4" w:right="72" w:firstLine="649"/>
        <w:jc w:val="both"/>
        <w:textAlignment w:val="baseline"/>
        <w:rPr>
          <w:rFonts w:hint="eastAsia" w:ascii="宋体" w:hAnsi="宋体" w:eastAsia="仿宋_GB2312" w:cs="仿宋_GB2312"/>
          <w:color w:val="auto"/>
          <w:spacing w:val="0"/>
          <w:sz w:val="32"/>
          <w:szCs w:val="32"/>
        </w:rPr>
      </w:pPr>
      <w:r>
        <w:rPr>
          <w:rFonts w:hint="eastAsia" w:ascii="宋体" w:hAnsi="宋体" w:eastAsia="仿宋_GB2312" w:cs="仿宋_GB2312"/>
          <w:color w:val="auto"/>
          <w:spacing w:val="0"/>
          <w:sz w:val="32"/>
          <w:szCs w:val="32"/>
        </w:rPr>
        <w:t>深入贯彻落实新《条例》要求，认真抓好依申请公开办理，畅通群众申请受理渠道，提高办理的质量和能力，全年受理公民依申请公开0件，结转下年度办理0件。</w:t>
      </w:r>
    </w:p>
    <w:p>
      <w:pPr>
        <w:keepNext w:val="0"/>
        <w:keepLines w:val="0"/>
        <w:pageBreakBefore w:val="0"/>
        <w:widowControl/>
        <w:kinsoku/>
        <w:wordWrap/>
        <w:overflowPunct w:val="0"/>
        <w:topLinePunct w:val="0"/>
        <w:autoSpaceDE w:val="0"/>
        <w:autoSpaceDN w:val="0"/>
        <w:bidi w:val="0"/>
        <w:adjustRightInd w:val="0"/>
        <w:snapToGrid w:val="0"/>
        <w:spacing w:line="560" w:lineRule="exact"/>
        <w:ind w:firstLine="640"/>
        <w:jc w:val="both"/>
        <w:textAlignment w:val="baseline"/>
        <w:rPr>
          <w:rFonts w:hint="eastAsia" w:ascii="宋体" w:hAnsi="宋体" w:eastAsia="仿宋_GB2312" w:cs="仿宋_GB2312"/>
          <w:color w:val="auto"/>
          <w:spacing w:val="0"/>
          <w:sz w:val="32"/>
          <w:szCs w:val="32"/>
        </w:rPr>
      </w:pPr>
      <w:r>
        <w:rPr>
          <w:rFonts w:hint="eastAsia" w:ascii="宋体" w:hAnsi="宋体" w:eastAsia="仿宋_GB2312" w:cs="仿宋_GB2312"/>
          <w:color w:val="auto"/>
          <w:spacing w:val="0"/>
          <w:sz w:val="32"/>
          <w:szCs w:val="32"/>
        </w:rPr>
        <w:t>（三）政府信息管理情况。</w:t>
      </w:r>
    </w:p>
    <w:p>
      <w:pPr>
        <w:keepNext w:val="0"/>
        <w:keepLines w:val="0"/>
        <w:pageBreakBefore w:val="0"/>
        <w:widowControl/>
        <w:kinsoku/>
        <w:wordWrap/>
        <w:overflowPunct w:val="0"/>
        <w:topLinePunct w:val="0"/>
        <w:autoSpaceDE w:val="0"/>
        <w:autoSpaceDN w:val="0"/>
        <w:bidi w:val="0"/>
        <w:adjustRightInd w:val="0"/>
        <w:snapToGrid w:val="0"/>
        <w:spacing w:line="560" w:lineRule="exact"/>
        <w:ind w:left="6" w:right="110" w:firstLine="662"/>
        <w:jc w:val="both"/>
        <w:textAlignment w:val="baseline"/>
        <w:rPr>
          <w:rFonts w:hint="eastAsia" w:ascii="宋体" w:hAnsi="宋体" w:eastAsia="仿宋_GB2312" w:cs="仿宋_GB2312"/>
          <w:color w:val="auto"/>
          <w:spacing w:val="0"/>
          <w:sz w:val="32"/>
          <w:szCs w:val="32"/>
        </w:rPr>
      </w:pPr>
      <w:r>
        <w:rPr>
          <w:rFonts w:hint="eastAsia" w:ascii="宋体" w:hAnsi="宋体" w:eastAsia="仿宋_GB2312" w:cs="仿宋_GB2312"/>
          <w:color w:val="auto"/>
          <w:spacing w:val="0"/>
          <w:sz w:val="32"/>
          <w:szCs w:val="32"/>
        </w:rPr>
        <w:t>一是严格落实省、市政府信息公开工作指导意见，着力加强政府信息管理。二是做好信息发布审核，按规定做好文件审查、登记、公开。三是加强信息发布，发布公开政府信息和工作制度，包括：镇</w:t>
      </w:r>
      <w:r>
        <w:rPr>
          <w:rFonts w:hint="eastAsia" w:ascii="宋体" w:hAnsi="宋体" w:eastAsia="仿宋_GB2312" w:cs="仿宋_GB2312"/>
          <w:color w:val="auto"/>
          <w:spacing w:val="0"/>
          <w:sz w:val="32"/>
          <w:szCs w:val="32"/>
          <w:lang w:eastAsia="zh-CN"/>
        </w:rPr>
        <w:t>政府</w:t>
      </w:r>
      <w:r>
        <w:rPr>
          <w:rFonts w:hint="eastAsia" w:ascii="宋体" w:hAnsi="宋体" w:eastAsia="仿宋_GB2312" w:cs="仿宋_GB2312"/>
          <w:color w:val="auto"/>
          <w:spacing w:val="0"/>
          <w:sz w:val="32"/>
          <w:szCs w:val="32"/>
        </w:rPr>
        <w:t>信息公开、</w:t>
      </w:r>
      <w:r>
        <w:rPr>
          <w:rFonts w:hint="eastAsia" w:ascii="宋体" w:hAnsi="宋体" w:eastAsia="仿宋_GB2312" w:cs="仿宋_GB2312"/>
          <w:color w:val="auto"/>
          <w:spacing w:val="0"/>
          <w:sz w:val="32"/>
          <w:szCs w:val="32"/>
          <w:lang w:eastAsia="zh-CN"/>
        </w:rPr>
        <w:t>镇信息公开</w:t>
      </w:r>
      <w:r>
        <w:rPr>
          <w:rFonts w:hint="eastAsia" w:ascii="宋体" w:hAnsi="宋体" w:eastAsia="仿宋_GB2312" w:cs="仿宋_GB2312"/>
          <w:color w:val="auto"/>
          <w:spacing w:val="0"/>
          <w:sz w:val="32"/>
          <w:szCs w:val="32"/>
        </w:rPr>
        <w:t>年报等。</w:t>
      </w:r>
    </w:p>
    <w:p>
      <w:pPr>
        <w:keepNext w:val="0"/>
        <w:keepLines w:val="0"/>
        <w:pageBreakBefore w:val="0"/>
        <w:widowControl/>
        <w:kinsoku/>
        <w:wordWrap/>
        <w:overflowPunct w:val="0"/>
        <w:topLinePunct w:val="0"/>
        <w:autoSpaceDE w:val="0"/>
        <w:autoSpaceDN w:val="0"/>
        <w:bidi w:val="0"/>
        <w:adjustRightInd w:val="0"/>
        <w:snapToGrid w:val="0"/>
        <w:spacing w:line="560" w:lineRule="exact"/>
        <w:ind w:left="14" w:right="113" w:firstLine="625"/>
        <w:jc w:val="both"/>
        <w:textAlignment w:val="baseline"/>
        <w:rPr>
          <w:rFonts w:hint="eastAsia" w:ascii="宋体" w:hAnsi="宋体" w:eastAsia="仿宋_GB2312" w:cs="仿宋_GB2312"/>
          <w:color w:val="auto"/>
          <w:spacing w:val="0"/>
          <w:sz w:val="32"/>
          <w:szCs w:val="32"/>
        </w:rPr>
      </w:pPr>
      <w:r>
        <w:rPr>
          <w:rFonts w:hint="eastAsia" w:ascii="宋体" w:hAnsi="宋体" w:eastAsia="仿宋_GB2312" w:cs="仿宋_GB2312"/>
          <w:color w:val="auto"/>
          <w:spacing w:val="0"/>
          <w:sz w:val="32"/>
          <w:szCs w:val="32"/>
        </w:rPr>
        <w:t>（四）平台建设情况。整合系统信息资源，规范新媒体矩阵，紧跟大数据发展步伐，集中平台实施政务公开，方便公众获取所需政府信息，202</w:t>
      </w:r>
      <w:r>
        <w:rPr>
          <w:rFonts w:hint="eastAsia" w:ascii="宋体" w:hAnsi="宋体" w:eastAsia="仿宋_GB2312" w:cs="仿宋_GB2312"/>
          <w:color w:val="auto"/>
          <w:spacing w:val="0"/>
          <w:sz w:val="32"/>
          <w:szCs w:val="32"/>
          <w:lang w:val="en-US" w:eastAsia="zh-CN"/>
        </w:rPr>
        <w:t>2</w:t>
      </w:r>
      <w:r>
        <w:rPr>
          <w:rFonts w:hint="eastAsia" w:ascii="宋体" w:hAnsi="宋体" w:eastAsia="仿宋_GB2312" w:cs="仿宋_GB2312"/>
          <w:color w:val="auto"/>
          <w:spacing w:val="0"/>
          <w:sz w:val="32"/>
          <w:szCs w:val="32"/>
        </w:rPr>
        <w:t>年，我镇通过微信公众号“今日汪疃”全年更新信息</w:t>
      </w:r>
      <w:r>
        <w:rPr>
          <w:rFonts w:hint="eastAsia" w:ascii="宋体" w:hAnsi="宋体" w:eastAsia="仿宋_GB2312" w:cs="仿宋_GB2312"/>
          <w:color w:val="auto"/>
          <w:spacing w:val="0"/>
          <w:sz w:val="32"/>
          <w:szCs w:val="32"/>
          <w:highlight w:val="none"/>
          <w:lang w:val="en-US" w:eastAsia="zh-CN"/>
        </w:rPr>
        <w:t>501</w:t>
      </w:r>
      <w:r>
        <w:rPr>
          <w:rFonts w:hint="eastAsia" w:ascii="宋体" w:hAnsi="宋体" w:eastAsia="仿宋_GB2312" w:cs="仿宋_GB2312"/>
          <w:color w:val="auto"/>
          <w:spacing w:val="0"/>
          <w:sz w:val="32"/>
          <w:szCs w:val="32"/>
        </w:rPr>
        <w:t>条。</w:t>
      </w:r>
    </w:p>
    <w:p>
      <w:pPr>
        <w:keepNext w:val="0"/>
        <w:keepLines w:val="0"/>
        <w:pageBreakBefore w:val="0"/>
        <w:widowControl/>
        <w:kinsoku/>
        <w:wordWrap/>
        <w:overflowPunct w:val="0"/>
        <w:topLinePunct w:val="0"/>
        <w:autoSpaceDE w:val="0"/>
        <w:autoSpaceDN w:val="0"/>
        <w:bidi w:val="0"/>
        <w:adjustRightInd w:val="0"/>
        <w:snapToGrid w:val="0"/>
        <w:spacing w:line="560" w:lineRule="exact"/>
        <w:ind w:right="113" w:firstLine="640" w:firstLineChars="200"/>
        <w:jc w:val="both"/>
        <w:textAlignment w:val="baseline"/>
        <w:rPr>
          <w:rFonts w:hint="eastAsia" w:ascii="宋体" w:hAnsi="宋体" w:eastAsia="仿宋_GB2312" w:cs="仿宋_GB2312"/>
          <w:color w:val="auto"/>
          <w:spacing w:val="0"/>
          <w:sz w:val="32"/>
          <w:szCs w:val="32"/>
        </w:rPr>
      </w:pPr>
      <w:r>
        <w:rPr>
          <w:rFonts w:hint="eastAsia" w:ascii="宋体" w:hAnsi="宋体" w:eastAsia="仿宋_GB2312" w:cs="仿宋_GB2312"/>
          <w:color w:val="auto"/>
          <w:spacing w:val="0"/>
          <w:sz w:val="32"/>
          <w:szCs w:val="32"/>
        </w:rPr>
        <w:t>（五）监督保障情况。认真遵守《中华人民共和国</w:t>
      </w:r>
      <w:r>
        <w:rPr>
          <w:rFonts w:hint="eastAsia" w:ascii="宋体" w:hAnsi="宋体" w:eastAsia="仿宋_GB2312" w:cs="仿宋_GB2312"/>
          <w:color w:val="auto"/>
          <w:spacing w:val="0"/>
          <w:sz w:val="32"/>
          <w:szCs w:val="32"/>
          <w:lang w:eastAsia="zh-CN"/>
        </w:rPr>
        <w:t>保守国家秘密</w:t>
      </w:r>
      <w:bookmarkStart w:id="9" w:name="_GoBack"/>
      <w:bookmarkEnd w:id="9"/>
      <w:r>
        <w:rPr>
          <w:rFonts w:hint="eastAsia" w:ascii="宋体" w:hAnsi="宋体" w:eastAsia="仿宋_GB2312" w:cs="仿宋_GB2312"/>
          <w:color w:val="auto"/>
          <w:spacing w:val="0"/>
          <w:sz w:val="32"/>
          <w:szCs w:val="32"/>
        </w:rPr>
        <w:t>法》和《中华人民共和国政府信息公开条例》的有关规定，制定信息公开保密审查制度。政府信息公开前，依照《中华人民共和国保守国家秘密法》以及其他法律、法规和国家有关规定，对拟公开的政府信息进行审查；各部门的计算机操作人员对计算机系统经常检查，防止漏洞；涉密文件禁止保存在与互联网相连的计算机中。</w:t>
      </w:r>
    </w:p>
    <w:p>
      <w:pPr>
        <w:keepNext w:val="0"/>
        <w:keepLines w:val="0"/>
        <w:pageBreakBefore w:val="0"/>
        <w:widowControl/>
        <w:kinsoku/>
        <w:wordWrap/>
        <w:overflowPunct w:val="0"/>
        <w:topLinePunct w:val="0"/>
        <w:autoSpaceDE w:val="0"/>
        <w:autoSpaceDN w:val="0"/>
        <w:bidi w:val="0"/>
        <w:adjustRightInd w:val="0"/>
        <w:snapToGrid w:val="0"/>
        <w:spacing w:line="560" w:lineRule="exact"/>
        <w:ind w:firstLine="930" w:firstLineChars="300"/>
        <w:jc w:val="both"/>
        <w:textAlignment w:val="baseline"/>
        <w:rPr>
          <w:rFonts w:ascii="宋体" w:hAnsi="宋体" w:eastAsia="黑体" w:cs="黑体"/>
          <w:color w:val="auto"/>
          <w:spacing w:val="0"/>
          <w:sz w:val="31"/>
          <w:szCs w:val="31"/>
        </w:rPr>
      </w:pPr>
    </w:p>
    <w:p>
      <w:pPr>
        <w:keepNext w:val="0"/>
        <w:keepLines w:val="0"/>
        <w:pageBreakBefore w:val="0"/>
        <w:widowControl/>
        <w:kinsoku/>
        <w:wordWrap/>
        <w:overflowPunct w:val="0"/>
        <w:topLinePunct w:val="0"/>
        <w:autoSpaceDE w:val="0"/>
        <w:autoSpaceDN w:val="0"/>
        <w:bidi w:val="0"/>
        <w:adjustRightInd w:val="0"/>
        <w:snapToGrid w:val="0"/>
        <w:spacing w:line="560" w:lineRule="exact"/>
        <w:ind w:firstLine="930" w:firstLineChars="300"/>
        <w:jc w:val="both"/>
        <w:textAlignment w:val="baseline"/>
        <w:rPr>
          <w:rFonts w:ascii="宋体" w:hAnsi="宋体" w:eastAsia="黑体" w:cs="黑体"/>
          <w:color w:val="auto"/>
          <w:spacing w:val="0"/>
          <w:sz w:val="31"/>
          <w:szCs w:val="31"/>
        </w:rPr>
      </w:pPr>
    </w:p>
    <w:p>
      <w:pPr>
        <w:keepNext w:val="0"/>
        <w:keepLines w:val="0"/>
        <w:pageBreakBefore w:val="0"/>
        <w:widowControl/>
        <w:kinsoku/>
        <w:wordWrap/>
        <w:overflowPunct w:val="0"/>
        <w:topLinePunct w:val="0"/>
        <w:autoSpaceDE w:val="0"/>
        <w:autoSpaceDN w:val="0"/>
        <w:bidi w:val="0"/>
        <w:adjustRightInd w:val="0"/>
        <w:snapToGrid w:val="0"/>
        <w:spacing w:line="560" w:lineRule="exact"/>
        <w:ind w:firstLine="930" w:firstLineChars="300"/>
        <w:jc w:val="both"/>
        <w:textAlignment w:val="baseline"/>
        <w:rPr>
          <w:rFonts w:ascii="宋体" w:hAnsi="宋体" w:eastAsia="黑体" w:cs="黑体"/>
          <w:color w:val="auto"/>
          <w:spacing w:val="0"/>
          <w:sz w:val="31"/>
          <w:szCs w:val="31"/>
        </w:rPr>
      </w:pPr>
      <w:r>
        <w:rPr>
          <w:rFonts w:ascii="宋体" w:hAnsi="宋体" w:eastAsia="黑体" w:cs="黑体"/>
          <w:color w:val="auto"/>
          <w:spacing w:val="0"/>
          <w:sz w:val="31"/>
          <w:szCs w:val="31"/>
        </w:rPr>
        <w:t>二、</w:t>
      </w:r>
      <w:r>
        <w:rPr>
          <w:rFonts w:ascii="宋体" w:hAnsi="宋体" w:eastAsia="黑体" w:cs="黑体"/>
          <w:color w:val="auto"/>
          <w:spacing w:val="0"/>
          <w:sz w:val="35"/>
          <w:szCs w:val="35"/>
        </w:rPr>
        <w:t>主动公开政府信</w:t>
      </w:r>
      <w:r>
        <w:rPr>
          <w:rFonts w:ascii="宋体" w:hAnsi="宋体" w:eastAsia="黑体" w:cs="黑体"/>
          <w:color w:val="auto"/>
          <w:spacing w:val="0"/>
          <w:sz w:val="31"/>
          <w:szCs w:val="31"/>
        </w:rPr>
        <w:t>息情况</w:t>
      </w:r>
    </w:p>
    <w:tbl>
      <w:tblPr>
        <w:tblStyle w:val="11"/>
        <w:tblpPr w:leftFromText="181" w:rightFromText="181" w:vertAnchor="text" w:horzAnchor="page" w:tblpX="1214" w:tblpY="1"/>
        <w:tblOverlap w:val="never"/>
        <w:tblW w:w="9526"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2910"/>
        <w:gridCol w:w="2202"/>
        <w:gridCol w:w="2202"/>
        <w:gridCol w:w="22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91" w:hRule="atLeast"/>
        </w:trPr>
        <w:tc>
          <w:tcPr>
            <w:tcW w:w="9526" w:type="dxa"/>
            <w:gridSpan w:val="4"/>
            <w:tcBorders>
              <w:top w:val="single" w:color="000000" w:sz="2" w:space="0"/>
              <w:bottom w:val="single" w:color="000000" w:sz="2" w:space="0"/>
            </w:tcBorders>
            <w:shd w:val="clear" w:color="auto" w:fill="C6D9F1"/>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jc w:val="center"/>
              <w:textAlignment w:val="baseline"/>
              <w:rPr>
                <w:rFonts w:ascii="宋体" w:hAnsi="宋体" w:eastAsia="黑体" w:cs="黑体"/>
                <w:color w:val="auto"/>
                <w:spacing w:val="0"/>
                <w:sz w:val="20"/>
                <w:szCs w:val="20"/>
              </w:rPr>
            </w:pPr>
            <w:r>
              <w:rPr>
                <w:rFonts w:ascii="宋体" w:hAnsi="宋体" w:eastAsia="黑体" w:cs="黑体"/>
                <w:color w:val="auto"/>
                <w:spacing w:val="0"/>
                <w:sz w:val="20"/>
                <w:szCs w:val="20"/>
              </w:rPr>
              <w:t>第二十条第（一）项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2910"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jc w:val="center"/>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信息内容</w:t>
            </w:r>
          </w:p>
        </w:tc>
        <w:tc>
          <w:tcPr>
            <w:tcW w:w="2202"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469"/>
              <w:jc w:val="both"/>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本年制发件数</w:t>
            </w:r>
          </w:p>
        </w:tc>
        <w:tc>
          <w:tcPr>
            <w:tcW w:w="2202"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473"/>
              <w:jc w:val="both"/>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本年废止件数</w:t>
            </w:r>
          </w:p>
        </w:tc>
        <w:tc>
          <w:tcPr>
            <w:tcW w:w="2212"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483"/>
              <w:jc w:val="both"/>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现行有效件数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2" w:hRule="atLeast"/>
        </w:trPr>
        <w:tc>
          <w:tcPr>
            <w:tcW w:w="2910"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118"/>
              <w:jc w:val="center"/>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规章</w:t>
            </w:r>
          </w:p>
        </w:tc>
        <w:tc>
          <w:tcPr>
            <w:tcW w:w="2202"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1060"/>
              <w:jc w:val="both"/>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0</w:t>
            </w:r>
          </w:p>
        </w:tc>
        <w:tc>
          <w:tcPr>
            <w:tcW w:w="2202"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1064"/>
              <w:jc w:val="both"/>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0</w:t>
            </w:r>
          </w:p>
        </w:tc>
        <w:tc>
          <w:tcPr>
            <w:tcW w:w="2212"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1070"/>
              <w:jc w:val="both"/>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1" w:hRule="atLeast"/>
        </w:trPr>
        <w:tc>
          <w:tcPr>
            <w:tcW w:w="2910"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111"/>
              <w:jc w:val="center"/>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行政规范性文件</w:t>
            </w:r>
          </w:p>
        </w:tc>
        <w:tc>
          <w:tcPr>
            <w:tcW w:w="2202"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1060"/>
              <w:jc w:val="both"/>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0</w:t>
            </w:r>
          </w:p>
        </w:tc>
        <w:tc>
          <w:tcPr>
            <w:tcW w:w="2202"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1064"/>
              <w:jc w:val="both"/>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0</w:t>
            </w:r>
          </w:p>
        </w:tc>
        <w:tc>
          <w:tcPr>
            <w:tcW w:w="2212"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1070"/>
              <w:jc w:val="both"/>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9526" w:type="dxa"/>
            <w:gridSpan w:val="4"/>
            <w:tcBorders>
              <w:top w:val="single" w:color="000000" w:sz="2" w:space="0"/>
              <w:bottom w:val="single" w:color="000000" w:sz="2" w:space="0"/>
            </w:tcBorders>
            <w:shd w:val="clear" w:color="auto" w:fill="C6D9F1"/>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jc w:val="center"/>
              <w:textAlignment w:val="baseline"/>
              <w:rPr>
                <w:rFonts w:ascii="宋体" w:hAnsi="宋体" w:eastAsia="黑体" w:cs="黑体"/>
                <w:color w:val="auto"/>
                <w:spacing w:val="0"/>
                <w:sz w:val="20"/>
                <w:szCs w:val="20"/>
              </w:rPr>
            </w:pPr>
            <w:r>
              <w:rPr>
                <w:rFonts w:ascii="宋体" w:hAnsi="宋体" w:eastAsia="黑体" w:cs="黑体"/>
                <w:color w:val="auto"/>
                <w:spacing w:val="0"/>
                <w:sz w:val="20"/>
                <w:szCs w:val="20"/>
              </w:rPr>
              <w:t>第二十条第（五）项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1" w:hRule="atLeast"/>
        </w:trPr>
        <w:tc>
          <w:tcPr>
            <w:tcW w:w="2910"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jc w:val="center"/>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信息内容</w:t>
            </w:r>
          </w:p>
        </w:tc>
        <w:tc>
          <w:tcPr>
            <w:tcW w:w="6616" w:type="dxa"/>
            <w:gridSpan w:val="3"/>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2466"/>
              <w:jc w:val="both"/>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本年处理决定数量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82" w:hRule="atLeast"/>
        </w:trPr>
        <w:tc>
          <w:tcPr>
            <w:tcW w:w="2910"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111"/>
              <w:jc w:val="center"/>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行政许可</w:t>
            </w:r>
          </w:p>
        </w:tc>
        <w:tc>
          <w:tcPr>
            <w:tcW w:w="6616" w:type="dxa"/>
            <w:gridSpan w:val="3"/>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3266"/>
              <w:jc w:val="both"/>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2" w:hRule="atLeast"/>
        </w:trPr>
        <w:tc>
          <w:tcPr>
            <w:tcW w:w="9526" w:type="dxa"/>
            <w:gridSpan w:val="4"/>
            <w:tcBorders>
              <w:top w:val="single" w:color="000000" w:sz="2" w:space="0"/>
              <w:bottom w:val="single" w:color="000000" w:sz="2" w:space="0"/>
            </w:tcBorders>
            <w:shd w:val="clear" w:color="auto" w:fill="C6D9F1"/>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jc w:val="center"/>
              <w:textAlignment w:val="baseline"/>
              <w:rPr>
                <w:rFonts w:ascii="宋体" w:hAnsi="宋体" w:eastAsia="黑体" w:cs="黑体"/>
                <w:color w:val="auto"/>
                <w:spacing w:val="0"/>
                <w:sz w:val="20"/>
                <w:szCs w:val="20"/>
              </w:rPr>
            </w:pPr>
            <w:r>
              <w:rPr>
                <w:rFonts w:ascii="宋体" w:hAnsi="宋体" w:eastAsia="黑体" w:cs="黑体"/>
                <w:color w:val="auto"/>
                <w:spacing w:val="0"/>
                <w:sz w:val="20"/>
                <w:szCs w:val="20"/>
              </w:rPr>
              <w:t>第二十条第（六）项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2" w:hRule="atLeast"/>
        </w:trPr>
        <w:tc>
          <w:tcPr>
            <w:tcW w:w="2910"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jc w:val="center"/>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信息内容</w:t>
            </w:r>
          </w:p>
        </w:tc>
        <w:tc>
          <w:tcPr>
            <w:tcW w:w="6616" w:type="dxa"/>
            <w:gridSpan w:val="3"/>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2466"/>
              <w:jc w:val="both"/>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本年处理决定数量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2" w:hRule="atLeast"/>
        </w:trPr>
        <w:tc>
          <w:tcPr>
            <w:tcW w:w="2910"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111"/>
              <w:jc w:val="center"/>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行政处罚</w:t>
            </w:r>
          </w:p>
        </w:tc>
        <w:tc>
          <w:tcPr>
            <w:tcW w:w="6616" w:type="dxa"/>
            <w:gridSpan w:val="3"/>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3266"/>
              <w:jc w:val="both"/>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1" w:hRule="atLeast"/>
        </w:trPr>
        <w:tc>
          <w:tcPr>
            <w:tcW w:w="2910"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111"/>
              <w:jc w:val="center"/>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行政强制</w:t>
            </w:r>
          </w:p>
        </w:tc>
        <w:tc>
          <w:tcPr>
            <w:tcW w:w="6616" w:type="dxa"/>
            <w:gridSpan w:val="3"/>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3266"/>
              <w:jc w:val="both"/>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1" w:hRule="atLeast"/>
        </w:trPr>
        <w:tc>
          <w:tcPr>
            <w:tcW w:w="9526" w:type="dxa"/>
            <w:gridSpan w:val="4"/>
            <w:tcBorders>
              <w:top w:val="single" w:color="000000" w:sz="2" w:space="0"/>
              <w:bottom w:val="single" w:color="000000" w:sz="2" w:space="0"/>
            </w:tcBorders>
            <w:shd w:val="clear" w:color="auto" w:fill="C6D9F1"/>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jc w:val="center"/>
              <w:textAlignment w:val="baseline"/>
              <w:rPr>
                <w:rFonts w:ascii="宋体" w:hAnsi="宋体" w:eastAsia="黑体" w:cs="黑体"/>
                <w:color w:val="auto"/>
                <w:spacing w:val="0"/>
                <w:sz w:val="20"/>
                <w:szCs w:val="20"/>
              </w:rPr>
            </w:pPr>
            <w:r>
              <w:rPr>
                <w:rFonts w:ascii="宋体" w:hAnsi="宋体" w:eastAsia="黑体" w:cs="黑体"/>
                <w:color w:val="auto"/>
                <w:spacing w:val="0"/>
                <w:sz w:val="20"/>
                <w:szCs w:val="20"/>
              </w:rPr>
              <w:t>第二十条第（八）项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2" w:hRule="atLeast"/>
        </w:trPr>
        <w:tc>
          <w:tcPr>
            <w:tcW w:w="2910"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jc w:val="center"/>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信息内容</w:t>
            </w:r>
          </w:p>
        </w:tc>
        <w:tc>
          <w:tcPr>
            <w:tcW w:w="6616" w:type="dxa"/>
            <w:gridSpan w:val="3"/>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1941"/>
              <w:jc w:val="both"/>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本年收费金额（单位：万元）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91" w:hRule="atLeast"/>
        </w:trPr>
        <w:tc>
          <w:tcPr>
            <w:tcW w:w="2910" w:type="dxa"/>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111"/>
              <w:jc w:val="center"/>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行政事业性收费</w:t>
            </w:r>
          </w:p>
        </w:tc>
        <w:tc>
          <w:tcPr>
            <w:tcW w:w="6616" w:type="dxa"/>
            <w:gridSpan w:val="3"/>
            <w:tcBorders>
              <w:top w:val="single" w:color="000000" w:sz="2" w:space="0"/>
              <w:bottom w:val="single" w:color="000000" w:sz="2" w:space="0"/>
            </w:tcBorders>
            <w:vAlign w:val="top"/>
          </w:tcPr>
          <w:p>
            <w:pPr>
              <w:keepNext w:val="0"/>
              <w:keepLines w:val="0"/>
              <w:pageBreakBefore w:val="0"/>
              <w:widowControl/>
              <w:kinsoku/>
              <w:wordWrap/>
              <w:overflowPunct w:val="0"/>
              <w:topLinePunct w:val="0"/>
              <w:autoSpaceDE w:val="0"/>
              <w:autoSpaceDN w:val="0"/>
              <w:bidi w:val="0"/>
              <w:adjustRightInd w:val="0"/>
              <w:snapToGrid w:val="0"/>
              <w:spacing w:line="560" w:lineRule="exact"/>
              <w:ind w:firstLine="3266"/>
              <w:jc w:val="both"/>
              <w:textAlignment w:val="baseline"/>
              <w:rPr>
                <w:rFonts w:ascii="宋体" w:hAnsi="宋体" w:eastAsia="仿宋" w:cs="仿宋"/>
                <w:color w:val="auto"/>
                <w:spacing w:val="0"/>
                <w:sz w:val="20"/>
                <w:szCs w:val="20"/>
              </w:rPr>
            </w:pPr>
            <w:r>
              <w:rPr>
                <w:rFonts w:ascii="宋体" w:hAnsi="宋体" w:eastAsia="仿宋" w:cs="仿宋"/>
                <w:color w:val="auto"/>
                <w:spacing w:val="0"/>
                <w:sz w:val="20"/>
                <w:szCs w:val="20"/>
              </w:rPr>
              <w:t>0</w:t>
            </w:r>
          </w:p>
        </w:tc>
      </w:tr>
    </w:tbl>
    <w:p>
      <w:pPr>
        <w:keepNext w:val="0"/>
        <w:keepLines w:val="0"/>
        <w:pageBreakBefore w:val="0"/>
        <w:widowControl/>
        <w:kinsoku/>
        <w:wordWrap/>
        <w:overflowPunct w:val="0"/>
        <w:topLinePunct w:val="0"/>
        <w:autoSpaceDE w:val="0"/>
        <w:autoSpaceDN w:val="0"/>
        <w:bidi w:val="0"/>
        <w:adjustRightInd w:val="0"/>
        <w:snapToGrid w:val="0"/>
        <w:spacing w:line="560" w:lineRule="exact"/>
        <w:ind w:firstLine="620" w:firstLineChars="200"/>
        <w:jc w:val="both"/>
        <w:textAlignment w:val="baseline"/>
        <w:rPr>
          <w:rFonts w:ascii="宋体" w:hAnsi="宋体" w:eastAsia="黑体" w:cs="黑体"/>
          <w:color w:val="auto"/>
          <w:spacing w:val="0"/>
          <w:sz w:val="31"/>
          <w:szCs w:val="31"/>
        </w:rPr>
      </w:pPr>
    </w:p>
    <w:p>
      <w:pPr>
        <w:keepNext w:val="0"/>
        <w:keepLines w:val="0"/>
        <w:pageBreakBefore w:val="0"/>
        <w:widowControl/>
        <w:kinsoku/>
        <w:wordWrap/>
        <w:overflowPunct w:val="0"/>
        <w:topLinePunct w:val="0"/>
        <w:autoSpaceDE w:val="0"/>
        <w:autoSpaceDN w:val="0"/>
        <w:bidi w:val="0"/>
        <w:adjustRightInd w:val="0"/>
        <w:snapToGrid w:val="0"/>
        <w:spacing w:line="560" w:lineRule="exact"/>
        <w:ind w:firstLine="620" w:firstLineChars="200"/>
        <w:jc w:val="both"/>
        <w:textAlignment w:val="baseline"/>
        <w:rPr>
          <w:rFonts w:ascii="宋体" w:hAnsi="宋体" w:eastAsia="黑体" w:cs="黑体"/>
          <w:color w:val="auto"/>
          <w:spacing w:val="0"/>
          <w:sz w:val="31"/>
          <w:szCs w:val="31"/>
        </w:rPr>
      </w:pPr>
      <w:r>
        <w:rPr>
          <w:rFonts w:ascii="宋体" w:hAnsi="宋体" w:eastAsia="黑体" w:cs="黑体"/>
          <w:color w:val="auto"/>
          <w:spacing w:val="0"/>
          <w:sz w:val="31"/>
          <w:szCs w:val="31"/>
        </w:rPr>
        <w:t>三、收到和处理政府信息公开申请情况</w:t>
      </w:r>
    </w:p>
    <w:tbl>
      <w:tblPr>
        <w:tblStyle w:val="6"/>
        <w:tblpPr w:leftFromText="181" w:rightFromText="181" w:vertAnchor="text" w:horzAnchor="page" w:tblpXSpec="center" w:tblpY="1"/>
        <w:tblOverlap w:val="never"/>
        <w:tblW w:w="943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323"/>
        <w:gridCol w:w="1661"/>
        <w:gridCol w:w="3387"/>
        <w:gridCol w:w="446"/>
        <w:gridCol w:w="334"/>
        <w:gridCol w:w="5"/>
        <w:gridCol w:w="521"/>
        <w:gridCol w:w="702"/>
        <w:gridCol w:w="657"/>
        <w:gridCol w:w="513"/>
        <w:gridCol w:w="7"/>
        <w:gridCol w:w="88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8" w:hRule="atLeast"/>
          <w:jc w:val="center"/>
        </w:trPr>
        <w:tc>
          <w:tcPr>
            <w:tcW w:w="5371" w:type="dxa"/>
            <w:gridSpan w:val="3"/>
            <w:vMerge w:val="restart"/>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center"/>
              <w:rPr>
                <w:rFonts w:ascii="宋体" w:hAnsi="宋体" w:eastAsia="楷体_GB2312"/>
                <w:color w:val="auto"/>
                <w:spacing w:val="0"/>
                <w:kern w:val="0"/>
                <w:sz w:val="21"/>
                <w:szCs w:val="21"/>
              </w:rPr>
            </w:pPr>
            <w:r>
              <w:rPr>
                <w:rFonts w:hint="eastAsia" w:ascii="宋体" w:hAnsi="宋体" w:eastAsia="楷体_GB2312"/>
                <w:color w:val="auto"/>
                <w:spacing w:val="0"/>
                <w:kern w:val="0"/>
                <w:sz w:val="21"/>
                <w:szCs w:val="21"/>
              </w:rPr>
              <w:t>（本列数据的勾稽关系为：第一项加第二项之和，</w:t>
            </w:r>
          </w:p>
          <w:p>
            <w:pPr>
              <w:keepNext w:val="0"/>
              <w:keepLines w:val="0"/>
              <w:pageBreakBefore w:val="0"/>
              <w:widowControl/>
              <w:kinsoku/>
              <w:wordWrap/>
              <w:overflowPunct w:val="0"/>
              <w:topLinePunct w:val="0"/>
              <w:bidi w:val="0"/>
              <w:spacing w:line="240" w:lineRule="auto"/>
              <w:jc w:val="center"/>
              <w:rPr>
                <w:rFonts w:ascii="宋体" w:hAnsi="宋体" w:eastAsia="仿宋_GB2312"/>
                <w:color w:val="auto"/>
                <w:spacing w:val="0"/>
                <w:sz w:val="21"/>
                <w:szCs w:val="21"/>
              </w:rPr>
            </w:pPr>
            <w:r>
              <w:rPr>
                <w:rFonts w:hint="eastAsia" w:ascii="宋体" w:hAnsi="宋体" w:eastAsia="楷体_GB2312"/>
                <w:color w:val="auto"/>
                <w:spacing w:val="0"/>
                <w:kern w:val="0"/>
                <w:sz w:val="21"/>
                <w:szCs w:val="21"/>
              </w:rPr>
              <w:t>等于第三项加第四项之和）</w:t>
            </w:r>
          </w:p>
        </w:tc>
        <w:tc>
          <w:tcPr>
            <w:tcW w:w="4068" w:type="dxa"/>
            <w:gridSpan w:val="9"/>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center"/>
              <w:rPr>
                <w:rFonts w:ascii="宋体" w:hAnsi="宋体" w:eastAsia="黑体" w:cs="Arial"/>
                <w:snapToGrid w:val="0"/>
                <w:color w:val="auto"/>
                <w:spacing w:val="0"/>
                <w:kern w:val="0"/>
                <w:sz w:val="21"/>
                <w:szCs w:val="21"/>
              </w:rPr>
            </w:pPr>
            <w:r>
              <w:rPr>
                <w:rFonts w:hint="eastAsia" w:ascii="宋体" w:hAnsi="宋体" w:eastAsia="黑体"/>
                <w:color w:val="auto"/>
                <w:spacing w:val="0"/>
                <w:kern w:val="0"/>
                <w:sz w:val="21"/>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2" w:hRule="atLeast"/>
          <w:jc w:val="center"/>
        </w:trPr>
        <w:tc>
          <w:tcPr>
            <w:tcW w:w="5371" w:type="dxa"/>
            <w:gridSpan w:val="3"/>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sz w:val="21"/>
                <w:szCs w:val="21"/>
              </w:rPr>
            </w:pPr>
          </w:p>
        </w:tc>
        <w:tc>
          <w:tcPr>
            <w:tcW w:w="446" w:type="dxa"/>
            <w:vMerge w:val="restart"/>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center"/>
              <w:rPr>
                <w:rFonts w:ascii="宋体" w:hAnsi="宋体" w:eastAsia="黑体" w:cs="Arial"/>
                <w:snapToGrid w:val="0"/>
                <w:color w:val="auto"/>
                <w:spacing w:val="0"/>
                <w:kern w:val="0"/>
                <w:sz w:val="21"/>
                <w:szCs w:val="21"/>
              </w:rPr>
            </w:pPr>
            <w:r>
              <w:rPr>
                <w:rFonts w:hint="eastAsia" w:ascii="宋体" w:hAnsi="宋体" w:eastAsia="黑体"/>
                <w:color w:val="auto"/>
                <w:spacing w:val="0"/>
                <w:kern w:val="0"/>
                <w:sz w:val="21"/>
                <w:szCs w:val="21"/>
              </w:rPr>
              <w:t>自然人</w:t>
            </w:r>
          </w:p>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2739" w:type="dxa"/>
            <w:gridSpan w:val="7"/>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center"/>
              <w:rPr>
                <w:rFonts w:ascii="宋体" w:hAnsi="宋体" w:eastAsia="黑体" w:cs="Arial"/>
                <w:snapToGrid w:val="0"/>
                <w:color w:val="auto"/>
                <w:spacing w:val="0"/>
                <w:kern w:val="0"/>
                <w:sz w:val="21"/>
                <w:szCs w:val="21"/>
              </w:rPr>
            </w:pPr>
            <w:r>
              <w:rPr>
                <w:rFonts w:hint="eastAsia" w:ascii="宋体" w:hAnsi="宋体" w:eastAsia="黑体"/>
                <w:color w:val="auto"/>
                <w:spacing w:val="0"/>
                <w:kern w:val="0"/>
                <w:sz w:val="21"/>
                <w:szCs w:val="21"/>
              </w:rPr>
              <w:t>法人或其他组织</w:t>
            </w:r>
          </w:p>
        </w:tc>
        <w:tc>
          <w:tcPr>
            <w:tcW w:w="883" w:type="dxa"/>
            <w:vMerge w:val="restart"/>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center"/>
              <w:rPr>
                <w:rFonts w:ascii="宋体" w:hAnsi="宋体" w:eastAsia="黑体" w:cs="Arial"/>
                <w:snapToGrid w:val="0"/>
                <w:color w:val="auto"/>
                <w:spacing w:val="0"/>
                <w:kern w:val="0"/>
                <w:sz w:val="21"/>
                <w:szCs w:val="21"/>
              </w:rPr>
            </w:pPr>
            <w:r>
              <w:rPr>
                <w:rFonts w:hint="eastAsia" w:ascii="宋体" w:hAnsi="宋体" w:eastAsia="黑体"/>
                <w:color w:val="auto"/>
                <w:spacing w:val="0"/>
                <w:kern w:val="0"/>
                <w:sz w:val="21"/>
                <w:szCs w:val="21"/>
              </w:rPr>
              <w:t>总计</w:t>
            </w:r>
          </w:p>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643" w:hRule="atLeast"/>
          <w:jc w:val="center"/>
        </w:trPr>
        <w:tc>
          <w:tcPr>
            <w:tcW w:w="5371" w:type="dxa"/>
            <w:gridSpan w:val="3"/>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sz w:val="21"/>
                <w:szCs w:val="21"/>
              </w:rPr>
            </w:pPr>
          </w:p>
        </w:tc>
        <w:tc>
          <w:tcPr>
            <w:tcW w:w="446"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ind w:left="-106" w:leftChars="-51" w:right="-107" w:rightChars="-51" w:hanging="1" w:firstLineChars="0"/>
              <w:jc w:val="center"/>
              <w:rPr>
                <w:rFonts w:ascii="宋体" w:hAnsi="宋体" w:eastAsia="黑体" w:cs="Arial"/>
                <w:snapToGrid w:val="0"/>
                <w:color w:val="auto"/>
                <w:spacing w:val="0"/>
                <w:kern w:val="0"/>
                <w:sz w:val="21"/>
                <w:szCs w:val="21"/>
              </w:rPr>
            </w:pPr>
            <w:r>
              <w:rPr>
                <w:rFonts w:hint="eastAsia" w:ascii="宋体" w:hAnsi="宋体" w:eastAsia="黑体"/>
                <w:color w:val="auto"/>
                <w:spacing w:val="0"/>
                <w:kern w:val="0"/>
                <w:sz w:val="21"/>
                <w:szCs w:val="21"/>
              </w:rPr>
              <w:t>商业企业</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ind w:left="-107" w:leftChars="-51" w:right="-107" w:rightChars="-51"/>
              <w:jc w:val="center"/>
              <w:rPr>
                <w:rFonts w:ascii="宋体" w:hAnsi="宋体" w:eastAsia="黑体" w:cs="Arial"/>
                <w:snapToGrid w:val="0"/>
                <w:color w:val="auto"/>
                <w:spacing w:val="0"/>
                <w:kern w:val="0"/>
                <w:sz w:val="21"/>
                <w:szCs w:val="21"/>
              </w:rPr>
            </w:pPr>
            <w:r>
              <w:rPr>
                <w:rFonts w:hint="eastAsia" w:ascii="宋体" w:hAnsi="宋体" w:eastAsia="黑体"/>
                <w:color w:val="auto"/>
                <w:spacing w:val="0"/>
                <w:kern w:val="0"/>
                <w:sz w:val="21"/>
                <w:szCs w:val="21"/>
              </w:rPr>
              <w:t>科研机构</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ind w:left="-107" w:leftChars="-51" w:right="-107" w:rightChars="-51"/>
              <w:jc w:val="center"/>
              <w:rPr>
                <w:rFonts w:ascii="宋体" w:hAnsi="宋体" w:eastAsia="黑体" w:cs="Arial"/>
                <w:snapToGrid w:val="0"/>
                <w:color w:val="auto"/>
                <w:spacing w:val="0"/>
                <w:kern w:val="0"/>
                <w:sz w:val="21"/>
                <w:szCs w:val="21"/>
              </w:rPr>
            </w:pPr>
            <w:r>
              <w:rPr>
                <w:rFonts w:hint="eastAsia" w:ascii="宋体" w:hAnsi="宋体" w:eastAsia="黑体"/>
                <w:color w:val="auto"/>
                <w:spacing w:val="0"/>
                <w:kern w:val="0"/>
                <w:sz w:val="21"/>
                <w:szCs w:val="21"/>
              </w:rPr>
              <w:t>社会公益组织</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ind w:left="-106" w:leftChars="-51" w:right="-107" w:rightChars="-51" w:hanging="1" w:firstLineChars="0"/>
              <w:jc w:val="center"/>
              <w:rPr>
                <w:rFonts w:ascii="宋体" w:hAnsi="宋体" w:eastAsia="黑体" w:cs="Arial"/>
                <w:snapToGrid w:val="0"/>
                <w:color w:val="auto"/>
                <w:spacing w:val="0"/>
                <w:kern w:val="0"/>
                <w:sz w:val="21"/>
                <w:szCs w:val="21"/>
              </w:rPr>
            </w:pPr>
            <w:r>
              <w:rPr>
                <w:rFonts w:hint="eastAsia" w:ascii="宋体" w:hAnsi="宋体" w:eastAsia="黑体"/>
                <w:color w:val="auto"/>
                <w:spacing w:val="0"/>
                <w:kern w:val="0"/>
                <w:sz w:val="21"/>
                <w:szCs w:val="21"/>
              </w:rPr>
              <w:t>法律服务机构</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ind w:left="-63" w:leftChars="-30" w:right="-134" w:rightChars="-64"/>
              <w:jc w:val="center"/>
              <w:rPr>
                <w:rFonts w:ascii="宋体" w:hAnsi="宋体" w:eastAsia="黑体" w:cs="Arial"/>
                <w:snapToGrid w:val="0"/>
                <w:color w:val="auto"/>
                <w:spacing w:val="0"/>
                <w:kern w:val="0"/>
                <w:sz w:val="21"/>
                <w:szCs w:val="21"/>
              </w:rPr>
            </w:pPr>
            <w:r>
              <w:rPr>
                <w:rFonts w:hint="eastAsia" w:ascii="宋体" w:hAnsi="宋体" w:eastAsia="黑体"/>
                <w:color w:val="auto"/>
                <w:spacing w:val="0"/>
                <w:kern w:val="0"/>
                <w:sz w:val="21"/>
                <w:szCs w:val="21"/>
              </w:rPr>
              <w:t>其他</w:t>
            </w:r>
          </w:p>
        </w:tc>
        <w:tc>
          <w:tcPr>
            <w:tcW w:w="88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8" w:hRule="atLeast"/>
          <w:jc w:val="center"/>
        </w:trPr>
        <w:tc>
          <w:tcPr>
            <w:tcW w:w="5371" w:type="dxa"/>
            <w:gridSpan w:val="3"/>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r>
              <w:rPr>
                <w:rFonts w:hint="eastAsia" w:ascii="宋体" w:hAnsi="宋体" w:eastAsia="黑体"/>
                <w:color w:val="auto"/>
                <w:spacing w:val="0"/>
                <w:kern w:val="0"/>
                <w:sz w:val="21"/>
                <w:szCs w:val="21"/>
              </w:rPr>
              <w:t>一、</w:t>
            </w:r>
            <w:bookmarkStart w:id="0" w:name="_Hlk66973412"/>
            <w:r>
              <w:rPr>
                <w:rFonts w:hint="eastAsia" w:ascii="宋体" w:hAnsi="宋体" w:eastAsia="黑体"/>
                <w:color w:val="auto"/>
                <w:spacing w:val="0"/>
                <w:kern w:val="0"/>
                <w:sz w:val="21"/>
                <w:szCs w:val="21"/>
              </w:rPr>
              <w:t>本年新收政府信息公开申请数量</w:t>
            </w:r>
            <w:bookmarkEnd w:id="0"/>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default"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default"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default"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default"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default"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default"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default"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0" w:hRule="atLeast"/>
          <w:jc w:val="center"/>
        </w:trPr>
        <w:tc>
          <w:tcPr>
            <w:tcW w:w="5371" w:type="dxa"/>
            <w:gridSpan w:val="3"/>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r>
              <w:rPr>
                <w:rFonts w:hint="eastAsia" w:ascii="宋体" w:hAnsi="宋体" w:eastAsia="黑体"/>
                <w:color w:val="auto"/>
                <w:spacing w:val="0"/>
                <w:kern w:val="0"/>
                <w:sz w:val="21"/>
                <w:szCs w:val="21"/>
              </w:rPr>
              <w:t>二、上年结转政府信息公开申请数量</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default"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2" w:hRule="atLeast"/>
          <w:jc w:val="center"/>
        </w:trPr>
        <w:tc>
          <w:tcPr>
            <w:tcW w:w="323" w:type="dxa"/>
            <w:vMerge w:val="restart"/>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left"/>
              <w:rPr>
                <w:rFonts w:ascii="宋体" w:hAnsi="宋体" w:eastAsia="黑体"/>
                <w:color w:val="auto"/>
                <w:spacing w:val="0"/>
                <w:sz w:val="21"/>
                <w:szCs w:val="21"/>
              </w:rPr>
            </w:pPr>
            <w:r>
              <w:rPr>
                <w:rFonts w:hint="eastAsia" w:ascii="宋体" w:hAnsi="宋体" w:eastAsia="黑体"/>
                <w:color w:val="auto"/>
                <w:spacing w:val="0"/>
                <w:kern w:val="0"/>
                <w:sz w:val="21"/>
                <w:szCs w:val="21"/>
              </w:rPr>
              <w:t>三、本年度办理结果</w:t>
            </w:r>
          </w:p>
        </w:tc>
        <w:tc>
          <w:tcPr>
            <w:tcW w:w="5048"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r>
              <w:rPr>
                <w:rFonts w:hint="eastAsia" w:ascii="宋体" w:hAnsi="宋体" w:eastAsia="黑体"/>
                <w:color w:val="auto"/>
                <w:spacing w:val="0"/>
                <w:kern w:val="0"/>
                <w:sz w:val="21"/>
                <w:szCs w:val="21"/>
              </w:rPr>
              <w:t>（一）予以公开</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339"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521"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51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89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default"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35" w:hRule="atLeas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5048"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r>
              <w:rPr>
                <w:rFonts w:hint="eastAsia" w:ascii="宋体" w:hAnsi="宋体" w:eastAsia="黑体"/>
                <w:color w:val="auto"/>
                <w:spacing w:val="0"/>
                <w:kern w:val="0"/>
                <w:sz w:val="21"/>
                <w:szCs w:val="21"/>
              </w:rPr>
              <w:t>（二）部分公开（</w:t>
            </w:r>
            <w:bookmarkStart w:id="1" w:name="_Hlk66973981"/>
            <w:r>
              <w:rPr>
                <w:rFonts w:hint="eastAsia" w:ascii="宋体" w:hAnsi="宋体" w:eastAsia="黑体"/>
                <w:color w:val="auto"/>
                <w:spacing w:val="0"/>
                <w:kern w:val="0"/>
                <w:sz w:val="21"/>
                <w:szCs w:val="21"/>
              </w:rPr>
              <w:t>区分处理的，只计这一情形，不计其他情形</w:t>
            </w:r>
            <w:bookmarkEnd w:id="1"/>
            <w:r>
              <w:rPr>
                <w:rFonts w:hint="eastAsia" w:ascii="宋体" w:hAnsi="宋体" w:eastAsia="黑体"/>
                <w:color w:val="auto"/>
                <w:spacing w:val="0"/>
                <w:kern w:val="0"/>
                <w:sz w:val="21"/>
                <w:szCs w:val="21"/>
              </w:rPr>
              <w:t>）</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339"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521"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51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89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57" w:hRule="exac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restart"/>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ind w:left="-107" w:leftChars="-51"/>
              <w:jc w:val="both"/>
              <w:rPr>
                <w:rFonts w:ascii="宋体" w:hAnsi="宋体" w:eastAsia="黑体"/>
                <w:color w:val="auto"/>
                <w:spacing w:val="0"/>
                <w:sz w:val="21"/>
                <w:szCs w:val="21"/>
              </w:rPr>
            </w:pPr>
            <w:r>
              <w:rPr>
                <w:rFonts w:hint="eastAsia" w:ascii="宋体" w:hAnsi="宋体" w:eastAsia="黑体"/>
                <w:color w:val="auto"/>
                <w:spacing w:val="0"/>
                <w:kern w:val="0"/>
                <w:sz w:val="21"/>
                <w:szCs w:val="21"/>
              </w:rPr>
              <w:t>（三）不予公开</w:t>
            </w:r>
          </w:p>
        </w:tc>
        <w:tc>
          <w:tcPr>
            <w:tcW w:w="338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kern w:val="0"/>
                <w:sz w:val="21"/>
                <w:szCs w:val="21"/>
              </w:rPr>
            </w:pPr>
            <w:r>
              <w:rPr>
                <w:rFonts w:hint="eastAsia" w:ascii="宋体" w:hAnsi="宋体" w:eastAsia="仿宋_GB2312"/>
                <w:color w:val="auto"/>
                <w:spacing w:val="0"/>
                <w:kern w:val="0"/>
                <w:sz w:val="21"/>
                <w:szCs w:val="21"/>
              </w:rPr>
              <w:t>1.属于国家秘密</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3" w:hRule="exac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338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kern w:val="0"/>
                <w:sz w:val="21"/>
                <w:szCs w:val="21"/>
              </w:rPr>
            </w:pPr>
            <w:r>
              <w:rPr>
                <w:rFonts w:hint="eastAsia" w:ascii="宋体" w:hAnsi="宋体" w:eastAsia="仿宋_GB2312"/>
                <w:color w:val="auto"/>
                <w:spacing w:val="0"/>
                <w:kern w:val="0"/>
                <w:sz w:val="21"/>
                <w:szCs w:val="21"/>
              </w:rPr>
              <w:t>2.</w:t>
            </w:r>
            <w:bookmarkStart w:id="2" w:name="_Hlk66974104"/>
            <w:r>
              <w:rPr>
                <w:rFonts w:hint="eastAsia" w:ascii="宋体" w:hAnsi="宋体" w:eastAsia="仿宋_GB2312"/>
                <w:color w:val="auto"/>
                <w:spacing w:val="0"/>
                <w:kern w:val="0"/>
                <w:sz w:val="21"/>
                <w:szCs w:val="21"/>
              </w:rPr>
              <w:t>其他法律行政法规禁止公开</w:t>
            </w:r>
            <w:bookmarkEnd w:id="2"/>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57" w:hRule="exac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338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kern w:val="0"/>
                <w:sz w:val="21"/>
                <w:szCs w:val="21"/>
              </w:rPr>
            </w:pPr>
            <w:r>
              <w:rPr>
                <w:rFonts w:hint="eastAsia" w:ascii="宋体" w:hAnsi="宋体" w:eastAsia="仿宋_GB2312"/>
                <w:color w:val="auto"/>
                <w:spacing w:val="0"/>
                <w:kern w:val="0"/>
                <w:sz w:val="21"/>
                <w:szCs w:val="21"/>
              </w:rPr>
              <w:t>3.危及“三安全一稳定”</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86" w:hRule="exac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338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kern w:val="0"/>
                <w:sz w:val="21"/>
                <w:szCs w:val="21"/>
              </w:rPr>
            </w:pPr>
            <w:r>
              <w:rPr>
                <w:rFonts w:hint="eastAsia" w:ascii="宋体" w:hAnsi="宋体" w:eastAsia="仿宋_GB2312"/>
                <w:color w:val="auto"/>
                <w:spacing w:val="0"/>
                <w:kern w:val="0"/>
                <w:sz w:val="21"/>
                <w:szCs w:val="21"/>
              </w:rPr>
              <w:t>4.</w:t>
            </w:r>
            <w:bookmarkStart w:id="3" w:name="_Hlk66974290"/>
            <w:r>
              <w:rPr>
                <w:rFonts w:hint="eastAsia" w:ascii="宋体" w:hAnsi="宋体" w:eastAsia="仿宋_GB2312"/>
                <w:color w:val="auto"/>
                <w:spacing w:val="0"/>
                <w:kern w:val="0"/>
                <w:sz w:val="21"/>
                <w:szCs w:val="21"/>
              </w:rPr>
              <w:t>保护第三方合法权益</w:t>
            </w:r>
            <w:bookmarkEnd w:id="3"/>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2" w:hRule="exac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338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kern w:val="0"/>
                <w:sz w:val="21"/>
                <w:szCs w:val="21"/>
              </w:rPr>
            </w:pPr>
            <w:r>
              <w:rPr>
                <w:rFonts w:hint="eastAsia" w:ascii="宋体" w:hAnsi="宋体" w:eastAsia="仿宋_GB2312"/>
                <w:color w:val="auto"/>
                <w:spacing w:val="0"/>
                <w:kern w:val="0"/>
                <w:sz w:val="21"/>
                <w:szCs w:val="21"/>
              </w:rPr>
              <w:t>5.属于三类内部事务信息</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76" w:hRule="exac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338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kern w:val="0"/>
                <w:sz w:val="21"/>
                <w:szCs w:val="21"/>
              </w:rPr>
            </w:pPr>
            <w:r>
              <w:rPr>
                <w:rFonts w:hint="eastAsia" w:ascii="宋体" w:hAnsi="宋体" w:eastAsia="仿宋_GB2312"/>
                <w:color w:val="auto"/>
                <w:spacing w:val="0"/>
                <w:kern w:val="0"/>
                <w:sz w:val="21"/>
                <w:szCs w:val="21"/>
              </w:rPr>
              <w:t>6.</w:t>
            </w:r>
            <w:bookmarkStart w:id="4" w:name="_Hlk66974555"/>
            <w:r>
              <w:rPr>
                <w:rFonts w:hint="eastAsia" w:ascii="宋体" w:hAnsi="宋体" w:eastAsia="仿宋_GB2312"/>
                <w:color w:val="auto"/>
                <w:spacing w:val="0"/>
                <w:kern w:val="0"/>
                <w:sz w:val="21"/>
                <w:szCs w:val="21"/>
              </w:rPr>
              <w:t>属于四类过程性信息</w:t>
            </w:r>
            <w:bookmarkEnd w:id="4"/>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5" w:hRule="exac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338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kern w:val="0"/>
                <w:sz w:val="21"/>
                <w:szCs w:val="21"/>
              </w:rPr>
            </w:pPr>
            <w:r>
              <w:rPr>
                <w:rFonts w:hint="eastAsia" w:ascii="宋体" w:hAnsi="宋体" w:eastAsia="仿宋_GB2312"/>
                <w:color w:val="auto"/>
                <w:spacing w:val="0"/>
                <w:kern w:val="0"/>
                <w:sz w:val="21"/>
                <w:szCs w:val="21"/>
              </w:rPr>
              <w:t>7.属于行政执法案卷</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71" w:hRule="exac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338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kern w:val="0"/>
                <w:sz w:val="21"/>
                <w:szCs w:val="21"/>
              </w:rPr>
            </w:pPr>
            <w:r>
              <w:rPr>
                <w:rFonts w:hint="eastAsia" w:ascii="宋体" w:hAnsi="宋体" w:eastAsia="仿宋_GB2312"/>
                <w:color w:val="auto"/>
                <w:spacing w:val="0"/>
                <w:kern w:val="0"/>
                <w:sz w:val="21"/>
                <w:szCs w:val="21"/>
              </w:rPr>
              <w:t>8.</w:t>
            </w:r>
            <w:bookmarkStart w:id="5" w:name="_Hlk66975211"/>
            <w:r>
              <w:rPr>
                <w:rFonts w:hint="eastAsia" w:ascii="宋体" w:hAnsi="宋体" w:eastAsia="仿宋_GB2312"/>
                <w:color w:val="auto"/>
                <w:spacing w:val="0"/>
                <w:kern w:val="0"/>
                <w:sz w:val="21"/>
                <w:szCs w:val="21"/>
              </w:rPr>
              <w:t>属于行政查询事项</w:t>
            </w:r>
            <w:bookmarkEnd w:id="5"/>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4" w:hRule="exac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restart"/>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ind w:left="-107" w:leftChars="-51"/>
              <w:jc w:val="both"/>
              <w:rPr>
                <w:rFonts w:ascii="宋体" w:hAnsi="宋体" w:eastAsia="黑体"/>
                <w:color w:val="auto"/>
                <w:spacing w:val="0"/>
                <w:sz w:val="21"/>
                <w:szCs w:val="21"/>
              </w:rPr>
            </w:pPr>
            <w:r>
              <w:rPr>
                <w:rFonts w:hint="eastAsia" w:ascii="宋体" w:hAnsi="宋体" w:eastAsia="黑体"/>
                <w:color w:val="auto"/>
                <w:spacing w:val="0"/>
                <w:kern w:val="0"/>
                <w:sz w:val="21"/>
                <w:szCs w:val="21"/>
              </w:rPr>
              <w:t>（四）无法提供</w:t>
            </w:r>
          </w:p>
        </w:tc>
        <w:tc>
          <w:tcPr>
            <w:tcW w:w="338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kern w:val="0"/>
                <w:sz w:val="21"/>
                <w:szCs w:val="21"/>
              </w:rPr>
            </w:pPr>
            <w:r>
              <w:rPr>
                <w:rFonts w:hint="eastAsia" w:ascii="宋体" w:hAnsi="宋体" w:eastAsia="仿宋_GB2312"/>
                <w:color w:val="auto"/>
                <w:spacing w:val="0"/>
                <w:kern w:val="0"/>
                <w:sz w:val="21"/>
                <w:szCs w:val="21"/>
              </w:rPr>
              <w:t>1.本机关不掌握相关政府信息</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5" w:hRule="exac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ind w:left="-107" w:leftChars="-51"/>
              <w:jc w:val="both"/>
              <w:rPr>
                <w:rFonts w:ascii="宋体" w:hAnsi="宋体" w:eastAsia="黑体"/>
                <w:color w:val="auto"/>
                <w:spacing w:val="0"/>
                <w:sz w:val="21"/>
                <w:szCs w:val="21"/>
              </w:rPr>
            </w:pPr>
          </w:p>
        </w:tc>
        <w:tc>
          <w:tcPr>
            <w:tcW w:w="338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kern w:val="0"/>
                <w:sz w:val="21"/>
                <w:szCs w:val="21"/>
              </w:rPr>
            </w:pPr>
            <w:r>
              <w:rPr>
                <w:rFonts w:hint="eastAsia" w:ascii="宋体" w:hAnsi="宋体" w:eastAsia="仿宋_GB2312"/>
                <w:color w:val="auto"/>
                <w:spacing w:val="0"/>
                <w:kern w:val="0"/>
                <w:sz w:val="21"/>
                <w:szCs w:val="21"/>
              </w:rPr>
              <w:t>2.</w:t>
            </w:r>
            <w:bookmarkStart w:id="6" w:name="_Hlk66975392"/>
            <w:r>
              <w:rPr>
                <w:rFonts w:hint="eastAsia" w:ascii="宋体" w:hAnsi="宋体" w:eastAsia="仿宋_GB2312"/>
                <w:color w:val="auto"/>
                <w:spacing w:val="0"/>
                <w:kern w:val="0"/>
                <w:sz w:val="21"/>
                <w:szCs w:val="21"/>
              </w:rPr>
              <w:t>没有现成信息需要另行制作</w:t>
            </w:r>
            <w:bookmarkEnd w:id="6"/>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9" w:hRule="exac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ind w:left="-107" w:leftChars="-51"/>
              <w:jc w:val="both"/>
              <w:rPr>
                <w:rFonts w:ascii="宋体" w:hAnsi="宋体" w:eastAsia="黑体"/>
                <w:color w:val="auto"/>
                <w:spacing w:val="0"/>
                <w:sz w:val="21"/>
                <w:szCs w:val="21"/>
              </w:rPr>
            </w:pPr>
          </w:p>
        </w:tc>
        <w:tc>
          <w:tcPr>
            <w:tcW w:w="338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kern w:val="0"/>
                <w:sz w:val="21"/>
                <w:szCs w:val="21"/>
              </w:rPr>
            </w:pPr>
            <w:r>
              <w:rPr>
                <w:rFonts w:hint="eastAsia" w:ascii="宋体" w:hAnsi="宋体" w:eastAsia="仿宋_GB2312"/>
                <w:color w:val="auto"/>
                <w:spacing w:val="0"/>
                <w:kern w:val="0"/>
                <w:sz w:val="21"/>
                <w:szCs w:val="21"/>
              </w:rPr>
              <w:t>3.</w:t>
            </w:r>
            <w:bookmarkStart w:id="7" w:name="_Hlk66975466"/>
            <w:r>
              <w:rPr>
                <w:rFonts w:hint="eastAsia" w:ascii="宋体" w:hAnsi="宋体" w:eastAsia="仿宋_GB2312"/>
                <w:color w:val="auto"/>
                <w:spacing w:val="0"/>
                <w:kern w:val="0"/>
                <w:sz w:val="21"/>
                <w:szCs w:val="21"/>
              </w:rPr>
              <w:t>补正后申请内容仍不明确</w:t>
            </w:r>
            <w:bookmarkEnd w:id="7"/>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53" w:hRule="exac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restart"/>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ind w:left="-107" w:leftChars="-51"/>
              <w:jc w:val="both"/>
              <w:rPr>
                <w:rFonts w:ascii="宋体" w:hAnsi="宋体" w:eastAsia="黑体"/>
                <w:color w:val="auto"/>
                <w:spacing w:val="0"/>
                <w:sz w:val="21"/>
                <w:szCs w:val="21"/>
              </w:rPr>
            </w:pPr>
            <w:r>
              <w:rPr>
                <w:rFonts w:hint="eastAsia" w:ascii="宋体" w:hAnsi="宋体" w:eastAsia="黑体"/>
                <w:color w:val="auto"/>
                <w:spacing w:val="0"/>
                <w:kern w:val="0"/>
                <w:sz w:val="21"/>
                <w:szCs w:val="21"/>
              </w:rPr>
              <w:t>（五）不予处理</w:t>
            </w:r>
          </w:p>
        </w:tc>
        <w:tc>
          <w:tcPr>
            <w:tcW w:w="338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kern w:val="0"/>
                <w:sz w:val="21"/>
                <w:szCs w:val="21"/>
              </w:rPr>
            </w:pPr>
            <w:r>
              <w:rPr>
                <w:rFonts w:hint="eastAsia" w:ascii="宋体" w:hAnsi="宋体" w:eastAsia="仿宋_GB2312"/>
                <w:color w:val="auto"/>
                <w:spacing w:val="0"/>
                <w:kern w:val="0"/>
                <w:sz w:val="21"/>
                <w:szCs w:val="21"/>
              </w:rPr>
              <w:t>1.</w:t>
            </w:r>
            <w:bookmarkStart w:id="8" w:name="_Hlk66975537"/>
            <w:r>
              <w:rPr>
                <w:rFonts w:hint="eastAsia" w:ascii="宋体" w:hAnsi="宋体" w:eastAsia="仿宋_GB2312"/>
                <w:color w:val="auto"/>
                <w:spacing w:val="0"/>
                <w:kern w:val="0"/>
                <w:sz w:val="21"/>
                <w:szCs w:val="21"/>
              </w:rPr>
              <w:t>信访举报投诉类申请</w:t>
            </w:r>
            <w:bookmarkEnd w:id="8"/>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86" w:hRule="exac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338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kern w:val="0"/>
                <w:sz w:val="21"/>
                <w:szCs w:val="21"/>
              </w:rPr>
            </w:pPr>
            <w:r>
              <w:rPr>
                <w:rFonts w:hint="eastAsia" w:ascii="宋体" w:hAnsi="宋体" w:eastAsia="仿宋_GB2312"/>
                <w:color w:val="auto"/>
                <w:spacing w:val="0"/>
                <w:kern w:val="0"/>
                <w:sz w:val="21"/>
                <w:szCs w:val="21"/>
              </w:rPr>
              <w:t>2.重复申请</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57" w:hRule="exac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338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sz w:val="21"/>
                <w:szCs w:val="21"/>
              </w:rPr>
            </w:pPr>
            <w:r>
              <w:rPr>
                <w:rFonts w:hint="eastAsia" w:ascii="宋体" w:hAnsi="宋体" w:eastAsia="仿宋_GB2312"/>
                <w:color w:val="auto"/>
                <w:spacing w:val="0"/>
                <w:kern w:val="0"/>
                <w:sz w:val="21"/>
                <w:szCs w:val="21"/>
              </w:rPr>
              <w:t>3.要求提供公开出版物</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74" w:hRule="exac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338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sz w:val="21"/>
                <w:szCs w:val="21"/>
              </w:rPr>
            </w:pPr>
            <w:r>
              <w:rPr>
                <w:rFonts w:hint="eastAsia" w:ascii="宋体" w:hAnsi="宋体" w:eastAsia="仿宋_GB2312"/>
                <w:color w:val="auto"/>
                <w:spacing w:val="0"/>
                <w:kern w:val="0"/>
                <w:sz w:val="21"/>
                <w:szCs w:val="21"/>
              </w:rPr>
              <w:t>4.无正当理由大量反复申请</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35" w:hRule="atLeas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3387" w:type="dxa"/>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sz w:val="21"/>
                <w:szCs w:val="21"/>
              </w:rPr>
            </w:pPr>
            <w:r>
              <w:rPr>
                <w:rFonts w:hint="eastAsia" w:ascii="宋体" w:hAnsi="宋体" w:eastAsia="仿宋_GB2312"/>
                <w:color w:val="auto"/>
                <w:spacing w:val="0"/>
                <w:kern w:val="0"/>
                <w:sz w:val="21"/>
                <w:szCs w:val="21"/>
              </w:rPr>
              <w:t>5.要求行政机关确认或重新出具已获取信息</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60" w:hRule="atLeas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restart"/>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kern w:val="0"/>
                <w:sz w:val="21"/>
                <w:szCs w:val="21"/>
              </w:rPr>
            </w:pPr>
            <w:r>
              <w:rPr>
                <w:rFonts w:hint="eastAsia" w:ascii="宋体" w:hAnsi="宋体" w:eastAsia="黑体"/>
                <w:color w:val="auto"/>
                <w:spacing w:val="0"/>
                <w:kern w:val="0"/>
                <w:sz w:val="21"/>
                <w:szCs w:val="21"/>
              </w:rPr>
              <w:t>（六）其他处理</w:t>
            </w:r>
          </w:p>
        </w:tc>
        <w:tc>
          <w:tcPr>
            <w:tcW w:w="3387" w:type="dxa"/>
            <w:shd w:val="clear" w:color="auto" w:fill="auto"/>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sz w:val="21"/>
                <w:szCs w:val="21"/>
              </w:rPr>
            </w:pPr>
            <w:r>
              <w:rPr>
                <w:rFonts w:hint="eastAsia" w:ascii="宋体" w:hAnsi="宋体" w:eastAsia="仿宋_GB2312"/>
                <w:color w:val="auto"/>
                <w:spacing w:val="0"/>
                <w:sz w:val="21"/>
                <w:szCs w:val="21"/>
              </w:rPr>
              <w:t>1.申请人无正当理由逾期不补正、行政机关不再处理其政府信息公开申请</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olor w:val="auto"/>
                <w:spacing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40" w:hRule="atLeas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kern w:val="0"/>
                <w:sz w:val="21"/>
                <w:szCs w:val="21"/>
              </w:rPr>
            </w:pPr>
          </w:p>
        </w:tc>
        <w:tc>
          <w:tcPr>
            <w:tcW w:w="3387" w:type="dxa"/>
            <w:shd w:val="clear" w:color="auto" w:fill="auto"/>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kern w:val="0"/>
                <w:sz w:val="21"/>
                <w:szCs w:val="21"/>
              </w:rPr>
            </w:pPr>
            <w:r>
              <w:rPr>
                <w:rFonts w:hint="eastAsia" w:ascii="宋体" w:hAnsi="宋体" w:eastAsia="仿宋_GB2312"/>
                <w:color w:val="auto"/>
                <w:spacing w:val="0"/>
                <w:sz w:val="21"/>
                <w:szCs w:val="21"/>
              </w:rPr>
              <w:t>2.申请人逾期未按收费通知要求缴纳费用、行政机关不再处理其政府信息公开申请</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2" w:hRule="atLeas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1661"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kern w:val="0"/>
                <w:sz w:val="21"/>
                <w:szCs w:val="21"/>
              </w:rPr>
            </w:pPr>
          </w:p>
        </w:tc>
        <w:tc>
          <w:tcPr>
            <w:tcW w:w="3387" w:type="dxa"/>
            <w:shd w:val="clear" w:color="auto" w:fill="auto"/>
            <w:vAlign w:val="center"/>
          </w:tcPr>
          <w:p>
            <w:pPr>
              <w:keepNext w:val="0"/>
              <w:keepLines w:val="0"/>
              <w:pageBreakBefore w:val="0"/>
              <w:widowControl/>
              <w:kinsoku/>
              <w:wordWrap/>
              <w:overflowPunct w:val="0"/>
              <w:topLinePunct w:val="0"/>
              <w:bidi w:val="0"/>
              <w:spacing w:line="240" w:lineRule="auto"/>
              <w:jc w:val="both"/>
              <w:rPr>
                <w:rFonts w:ascii="宋体" w:hAnsi="宋体" w:eastAsia="仿宋_GB2312"/>
                <w:color w:val="auto"/>
                <w:spacing w:val="0"/>
                <w:kern w:val="0"/>
                <w:sz w:val="21"/>
                <w:szCs w:val="21"/>
              </w:rPr>
            </w:pPr>
            <w:r>
              <w:rPr>
                <w:rFonts w:hint="eastAsia" w:ascii="宋体" w:hAnsi="宋体" w:eastAsia="仿宋_GB2312"/>
                <w:color w:val="auto"/>
                <w:spacing w:val="0"/>
                <w:sz w:val="21"/>
                <w:szCs w:val="21"/>
              </w:rPr>
              <w:t>3.其他</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hint="eastAsia" w:ascii="宋体" w:hAnsi="宋体" w:eastAsia="仿宋_GB2312" w:cs="Arial"/>
                <w:snapToGrid w:val="0"/>
                <w:color w:val="auto"/>
                <w:spacing w:val="0"/>
                <w:kern w:val="0"/>
                <w:sz w:val="21"/>
                <w:szCs w:val="21"/>
                <w:lang w:val="en-US" w:eastAsia="zh-CN"/>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lang w:val="en-US"/>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2" w:hRule="atLeast"/>
          <w:jc w:val="center"/>
        </w:trPr>
        <w:tc>
          <w:tcPr>
            <w:tcW w:w="323" w:type="dxa"/>
            <w:vMerge w:val="continue"/>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sz w:val="21"/>
                <w:szCs w:val="21"/>
              </w:rPr>
            </w:pPr>
          </w:p>
        </w:tc>
        <w:tc>
          <w:tcPr>
            <w:tcW w:w="5048"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kern w:val="0"/>
                <w:sz w:val="21"/>
                <w:szCs w:val="21"/>
              </w:rPr>
            </w:pPr>
            <w:r>
              <w:rPr>
                <w:rFonts w:hint="eastAsia" w:ascii="宋体" w:hAnsi="宋体" w:eastAsia="黑体"/>
                <w:color w:val="auto"/>
                <w:spacing w:val="0"/>
                <w:kern w:val="0"/>
                <w:sz w:val="21"/>
                <w:szCs w:val="21"/>
              </w:rPr>
              <w:t>（七）总计</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lang w:val="en-US"/>
              </w:rPr>
            </w:pPr>
            <w:r>
              <w:rPr>
                <w:rFonts w:hint="eastAsia" w:ascii="宋体" w:hAnsi="宋体" w:eastAsia="仿宋_GB2312"/>
                <w:color w:val="auto"/>
                <w:spacing w:val="0"/>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84" w:hRule="atLeast"/>
          <w:jc w:val="center"/>
        </w:trPr>
        <w:tc>
          <w:tcPr>
            <w:tcW w:w="5371" w:type="dxa"/>
            <w:gridSpan w:val="3"/>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240" w:lineRule="auto"/>
              <w:jc w:val="both"/>
              <w:rPr>
                <w:rFonts w:ascii="宋体" w:hAnsi="宋体" w:eastAsia="黑体"/>
                <w:color w:val="auto"/>
                <w:spacing w:val="0"/>
                <w:kern w:val="0"/>
                <w:sz w:val="21"/>
                <w:szCs w:val="21"/>
              </w:rPr>
            </w:pPr>
            <w:r>
              <w:rPr>
                <w:rFonts w:hint="eastAsia" w:ascii="宋体" w:hAnsi="宋体" w:eastAsia="黑体"/>
                <w:color w:val="auto"/>
                <w:spacing w:val="0"/>
                <w:kern w:val="0"/>
                <w:sz w:val="21"/>
                <w:szCs w:val="21"/>
              </w:rPr>
              <w:t>四、结转下年度继续办理</w:t>
            </w:r>
          </w:p>
        </w:tc>
        <w:tc>
          <w:tcPr>
            <w:tcW w:w="446"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334"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657"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520" w:type="dxa"/>
            <w:gridSpan w:val="2"/>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rPr>
            </w:pPr>
            <w:r>
              <w:rPr>
                <w:rFonts w:hint="eastAsia" w:ascii="宋体" w:hAnsi="宋体" w:eastAsia="仿宋_GB2312"/>
                <w:color w:val="auto"/>
                <w:spacing w:val="0"/>
                <w:sz w:val="21"/>
                <w:szCs w:val="21"/>
                <w:lang w:val="en-US" w:eastAsia="zh-CN"/>
              </w:rPr>
              <w:t>0</w:t>
            </w:r>
          </w:p>
        </w:tc>
        <w:tc>
          <w:tcPr>
            <w:tcW w:w="883" w:type="dxa"/>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240" w:lineRule="auto"/>
              <w:jc w:val="center"/>
              <w:textAlignment w:val="auto"/>
              <w:outlineLvl w:val="9"/>
              <w:rPr>
                <w:rFonts w:ascii="宋体" w:hAnsi="宋体" w:eastAsia="仿宋_GB2312" w:cs="Arial"/>
                <w:snapToGrid w:val="0"/>
                <w:color w:val="auto"/>
                <w:spacing w:val="0"/>
                <w:kern w:val="0"/>
                <w:sz w:val="21"/>
                <w:szCs w:val="21"/>
                <w:lang w:val="en-US"/>
              </w:rPr>
            </w:pPr>
            <w:r>
              <w:rPr>
                <w:rFonts w:hint="eastAsia" w:ascii="宋体" w:hAnsi="宋体" w:eastAsia="仿宋_GB2312"/>
                <w:color w:val="auto"/>
                <w:spacing w:val="0"/>
                <w:sz w:val="21"/>
                <w:szCs w:val="21"/>
                <w:lang w:val="en-US" w:eastAsia="zh-CN"/>
              </w:rPr>
              <w:t>0</w:t>
            </w:r>
          </w:p>
        </w:tc>
      </w:tr>
    </w:tbl>
    <w:p>
      <w:pPr>
        <w:keepNext w:val="0"/>
        <w:keepLines w:val="0"/>
        <w:pageBreakBefore w:val="0"/>
        <w:widowControl/>
        <w:kinsoku/>
        <w:wordWrap/>
        <w:overflowPunct w:val="0"/>
        <w:topLinePunct w:val="0"/>
        <w:bidi w:val="0"/>
        <w:spacing w:line="560" w:lineRule="exact"/>
        <w:ind w:firstLine="640" w:firstLineChars="200"/>
        <w:jc w:val="both"/>
        <w:rPr>
          <w:rFonts w:hint="eastAsia" w:ascii="宋体" w:hAnsi="宋体" w:eastAsia="黑体" w:cs="黑体"/>
          <w:b w:val="0"/>
          <w:bCs/>
          <w:i w:val="0"/>
          <w:caps w:val="0"/>
          <w:color w:val="auto"/>
          <w:spacing w:val="0"/>
          <w:kern w:val="0"/>
          <w:sz w:val="32"/>
          <w:szCs w:val="32"/>
          <w:shd w:val="clear" w:fill="FFFFFF"/>
          <w:lang w:val="en-US" w:eastAsia="zh-CN" w:bidi="ar"/>
        </w:rPr>
      </w:pPr>
      <w:r>
        <w:rPr>
          <w:rFonts w:hint="eastAsia" w:ascii="宋体" w:hAnsi="宋体" w:eastAsia="黑体" w:cs="黑体"/>
          <w:b w:val="0"/>
          <w:bCs/>
          <w:i w:val="0"/>
          <w:caps w:val="0"/>
          <w:color w:val="auto"/>
          <w:spacing w:val="0"/>
          <w:kern w:val="0"/>
          <w:sz w:val="32"/>
          <w:szCs w:val="32"/>
          <w:shd w:val="clear" w:fill="FFFFFF"/>
          <w:lang w:val="en-US" w:eastAsia="zh-CN" w:bidi="ar"/>
        </w:rPr>
        <w:t>四、政府信息公开行政复议、行政诉讼情况</w:t>
      </w:r>
    </w:p>
    <w:tbl>
      <w:tblPr>
        <w:tblStyle w:val="6"/>
        <w:tblW w:w="9332"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865"/>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497" w:hRule="atLeast"/>
          <w:jc w:val="center"/>
        </w:trPr>
        <w:tc>
          <w:tcPr>
            <w:tcW w:w="333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865"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ind w:left="-149" w:leftChars="-71" w:right="-170" w:rightChars="-81"/>
              <w:jc w:val="center"/>
              <w:rPr>
                <w:rFonts w:ascii="宋体" w:hAnsi="宋体" w:eastAsia="黑体"/>
                <w:color w:val="auto"/>
                <w:spacing w:val="0"/>
                <w:kern w:val="0"/>
                <w:sz w:val="20"/>
                <w:szCs w:val="20"/>
              </w:rPr>
            </w:pPr>
            <w:r>
              <w:rPr>
                <w:rFonts w:ascii="宋体" w:hAnsi="宋体" w:eastAsia="黑体"/>
                <w:color w:val="auto"/>
                <w:spacing w:val="0"/>
                <w:kern w:val="0"/>
                <w:sz w:val="20"/>
                <w:szCs w:val="20"/>
              </w:rPr>
              <w:t>结果</w:t>
            </w:r>
          </w:p>
          <w:p>
            <w:pPr>
              <w:keepNext w:val="0"/>
              <w:keepLines w:val="0"/>
              <w:pageBreakBefore w:val="0"/>
              <w:widowControl/>
              <w:kinsoku/>
              <w:wordWrap/>
              <w:overflowPunct w:val="0"/>
              <w:topLinePunct w:val="0"/>
              <w:bidi w:val="0"/>
              <w:spacing w:line="560" w:lineRule="exact"/>
              <w:ind w:left="-149" w:leftChars="-71" w:right="-170" w:rightChars="-81"/>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维持</w:t>
            </w:r>
          </w:p>
          <w:p>
            <w:pPr>
              <w:keepNext w:val="0"/>
              <w:keepLines w:val="0"/>
              <w:pageBreakBefore w:val="0"/>
              <w:widowControl/>
              <w:kinsoku/>
              <w:wordWrap/>
              <w:overflowPunct w:val="0"/>
              <w:topLinePunct w:val="0"/>
              <w:bidi w:val="0"/>
              <w:spacing w:line="560" w:lineRule="exact"/>
              <w:ind w:left="-149" w:leftChars="-71" w:right="-170" w:rightChars="-81"/>
              <w:jc w:val="both"/>
              <w:rPr>
                <w:rFonts w:ascii="宋体" w:hAnsi="宋体" w:eastAsia="黑体"/>
                <w:color w:val="auto"/>
                <w:spacing w:val="0"/>
              </w:rPr>
            </w:pP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ind w:left="-43" w:leftChars="-21" w:right="-132" w:rightChars="-63" w:hanging="1" w:firstLineChars="0"/>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结果纠正</w:t>
            </w:r>
          </w:p>
          <w:p>
            <w:pPr>
              <w:keepNext w:val="0"/>
              <w:keepLines w:val="0"/>
              <w:pageBreakBefore w:val="0"/>
              <w:widowControl/>
              <w:kinsoku/>
              <w:wordWrap/>
              <w:overflowPunct w:val="0"/>
              <w:topLinePunct w:val="0"/>
              <w:bidi w:val="0"/>
              <w:spacing w:line="560" w:lineRule="exact"/>
              <w:ind w:left="-43" w:leftChars="-21" w:right="-132" w:rightChars="-63" w:hanging="1"/>
              <w:jc w:val="both"/>
              <w:rPr>
                <w:rFonts w:ascii="宋体" w:hAnsi="宋体" w:eastAsia="黑体"/>
                <w:color w:val="auto"/>
                <w:spacing w:val="0"/>
              </w:rPr>
            </w:pP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ind w:left="-82" w:leftChars="-39" w:right="-97" w:rightChars="-46"/>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其他结果</w:t>
            </w:r>
          </w:p>
          <w:p>
            <w:pPr>
              <w:keepNext w:val="0"/>
              <w:keepLines w:val="0"/>
              <w:pageBreakBefore w:val="0"/>
              <w:widowControl/>
              <w:kinsoku/>
              <w:wordWrap/>
              <w:overflowPunct w:val="0"/>
              <w:topLinePunct w:val="0"/>
              <w:bidi w:val="0"/>
              <w:spacing w:line="560" w:lineRule="exact"/>
              <w:ind w:left="-82" w:leftChars="-39" w:right="-97" w:rightChars="-46"/>
              <w:jc w:val="both"/>
              <w:rPr>
                <w:rFonts w:ascii="宋体" w:hAnsi="宋体" w:eastAsia="黑体"/>
                <w:color w:val="auto"/>
                <w:spacing w:val="0"/>
              </w:rPr>
            </w:pP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ind w:left="-118" w:leftChars="-56" w:right="-118" w:rightChars="-56"/>
              <w:jc w:val="center"/>
              <w:rPr>
                <w:rFonts w:ascii="宋体" w:hAnsi="宋体" w:eastAsia="黑体"/>
                <w:color w:val="auto"/>
                <w:spacing w:val="0"/>
                <w:kern w:val="0"/>
                <w:sz w:val="20"/>
                <w:szCs w:val="20"/>
              </w:rPr>
            </w:pPr>
            <w:r>
              <w:rPr>
                <w:rFonts w:ascii="宋体" w:hAnsi="宋体" w:eastAsia="黑体"/>
                <w:color w:val="auto"/>
                <w:spacing w:val="0"/>
                <w:kern w:val="0"/>
                <w:sz w:val="20"/>
                <w:szCs w:val="20"/>
              </w:rPr>
              <w:t>尚未</w:t>
            </w:r>
          </w:p>
          <w:p>
            <w:pPr>
              <w:keepNext w:val="0"/>
              <w:keepLines w:val="0"/>
              <w:pageBreakBefore w:val="0"/>
              <w:widowControl/>
              <w:kinsoku/>
              <w:wordWrap/>
              <w:overflowPunct w:val="0"/>
              <w:topLinePunct w:val="0"/>
              <w:bidi w:val="0"/>
              <w:spacing w:line="560" w:lineRule="exact"/>
              <w:ind w:left="-118" w:leftChars="-56" w:right="-118" w:rightChars="-56"/>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审结</w:t>
            </w:r>
          </w:p>
          <w:p>
            <w:pPr>
              <w:keepNext w:val="0"/>
              <w:keepLines w:val="0"/>
              <w:pageBreakBefore w:val="0"/>
              <w:widowControl/>
              <w:kinsoku/>
              <w:wordWrap/>
              <w:overflowPunct w:val="0"/>
              <w:topLinePunct w:val="0"/>
              <w:bidi w:val="0"/>
              <w:spacing w:line="560" w:lineRule="exact"/>
              <w:ind w:left="-118" w:leftChars="-56" w:right="-118" w:rightChars="-56"/>
              <w:jc w:val="both"/>
              <w:rPr>
                <w:rFonts w:ascii="宋体" w:hAnsi="宋体" w:eastAsia="黑体"/>
                <w:color w:val="auto"/>
                <w:spacing w:val="0"/>
              </w:rPr>
            </w:pP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jc w:val="center"/>
              <w:rPr>
                <w:rFonts w:ascii="宋体" w:hAnsi="宋体" w:eastAsia="黑体"/>
                <w:color w:val="auto"/>
                <w:spacing w:val="0"/>
                <w:kern w:val="0"/>
                <w:sz w:val="20"/>
                <w:szCs w:val="20"/>
              </w:rPr>
            </w:pPr>
            <w:r>
              <w:rPr>
                <w:rFonts w:ascii="宋体" w:hAnsi="宋体" w:eastAsia="黑体"/>
                <w:color w:val="auto"/>
                <w:spacing w:val="0"/>
                <w:kern w:val="0"/>
                <w:sz w:val="20"/>
                <w:szCs w:val="20"/>
              </w:rPr>
              <w:t>总</w:t>
            </w:r>
          </w:p>
          <w:p>
            <w:pPr>
              <w:keepNext w:val="0"/>
              <w:keepLines w:val="0"/>
              <w:pageBreakBefore w:val="0"/>
              <w:widowControl/>
              <w:kinsoku/>
              <w:wordWrap/>
              <w:overflowPunct w:val="0"/>
              <w:topLinePunct w:val="0"/>
              <w:bidi w:val="0"/>
              <w:spacing w:line="560" w:lineRule="exact"/>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计</w:t>
            </w:r>
          </w:p>
          <w:p>
            <w:pPr>
              <w:keepNext w:val="0"/>
              <w:keepLines w:val="0"/>
              <w:pageBreakBefore w:val="0"/>
              <w:widowControl/>
              <w:kinsoku/>
              <w:wordWrap/>
              <w:overflowPunct w:val="0"/>
              <w:topLinePunct w:val="0"/>
              <w:bidi w:val="0"/>
              <w:spacing w:line="560" w:lineRule="exact"/>
              <w:jc w:val="both"/>
              <w:rPr>
                <w:rFonts w:ascii="宋体" w:hAnsi="宋体" w:eastAsia="黑体"/>
                <w:color w:val="auto"/>
                <w:spacing w:val="0"/>
              </w:rPr>
            </w:pP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865"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jc w:val="both"/>
              <w:rPr>
                <w:rFonts w:ascii="宋体" w:hAnsi="宋体" w:eastAsia="黑体"/>
                <w:color w:val="auto"/>
                <w:spacing w:val="0"/>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jc w:val="both"/>
              <w:rPr>
                <w:rFonts w:ascii="宋体" w:hAnsi="宋体" w:eastAsia="黑体"/>
                <w:color w:val="auto"/>
                <w:spacing w:val="0"/>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jc w:val="both"/>
              <w:rPr>
                <w:rFonts w:ascii="宋体" w:hAnsi="宋体" w:eastAsia="黑体"/>
                <w:color w:val="auto"/>
                <w:spacing w:val="0"/>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jc w:val="both"/>
              <w:rPr>
                <w:rFonts w:ascii="宋体" w:hAnsi="宋体" w:eastAsia="黑体"/>
                <w:color w:val="auto"/>
                <w:spacing w:val="0"/>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jc w:val="both"/>
              <w:rPr>
                <w:rFonts w:ascii="宋体" w:hAnsi="宋体" w:eastAsia="黑体"/>
                <w:color w:val="auto"/>
                <w:spacing w:val="0"/>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ind w:left="-105" w:leftChars="-50" w:right="-126" w:rightChars="-60"/>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ind w:left="-86" w:leftChars="-41" w:right="-88" w:rightChars="-42"/>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ind w:left="-126" w:leftChars="-60" w:right="-136" w:rightChars="-65"/>
              <w:jc w:val="center"/>
              <w:rPr>
                <w:rFonts w:ascii="宋体" w:hAnsi="宋体" w:eastAsia="黑体"/>
                <w:color w:val="auto"/>
                <w:spacing w:val="0"/>
                <w:kern w:val="0"/>
                <w:sz w:val="20"/>
                <w:szCs w:val="20"/>
              </w:rPr>
            </w:pPr>
            <w:r>
              <w:rPr>
                <w:rFonts w:ascii="宋体" w:hAnsi="宋体" w:eastAsia="黑体"/>
                <w:color w:val="auto"/>
                <w:spacing w:val="0"/>
                <w:kern w:val="0"/>
                <w:sz w:val="20"/>
                <w:szCs w:val="20"/>
              </w:rPr>
              <w:t>其他</w:t>
            </w:r>
          </w:p>
          <w:p>
            <w:pPr>
              <w:keepNext w:val="0"/>
              <w:keepLines w:val="0"/>
              <w:pageBreakBefore w:val="0"/>
              <w:widowControl/>
              <w:kinsoku/>
              <w:wordWrap/>
              <w:overflowPunct w:val="0"/>
              <w:topLinePunct w:val="0"/>
              <w:bidi w:val="0"/>
              <w:spacing w:line="560" w:lineRule="exact"/>
              <w:ind w:left="-126" w:leftChars="-60" w:right="-136" w:rightChars="-65"/>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ind w:left="-164" w:leftChars="-78" w:right="-153" w:rightChars="-73"/>
              <w:jc w:val="center"/>
              <w:rPr>
                <w:rFonts w:ascii="宋体" w:hAnsi="宋体" w:eastAsia="黑体"/>
                <w:color w:val="auto"/>
                <w:spacing w:val="0"/>
                <w:kern w:val="0"/>
                <w:sz w:val="20"/>
                <w:szCs w:val="20"/>
              </w:rPr>
            </w:pPr>
            <w:r>
              <w:rPr>
                <w:rFonts w:ascii="宋体" w:hAnsi="宋体" w:eastAsia="黑体"/>
                <w:color w:val="auto"/>
                <w:spacing w:val="0"/>
                <w:kern w:val="0"/>
                <w:sz w:val="20"/>
                <w:szCs w:val="20"/>
              </w:rPr>
              <w:t>尚未</w:t>
            </w:r>
          </w:p>
          <w:p>
            <w:pPr>
              <w:keepNext w:val="0"/>
              <w:keepLines w:val="0"/>
              <w:pageBreakBefore w:val="0"/>
              <w:widowControl/>
              <w:kinsoku/>
              <w:wordWrap/>
              <w:overflowPunct w:val="0"/>
              <w:topLinePunct w:val="0"/>
              <w:bidi w:val="0"/>
              <w:spacing w:line="560" w:lineRule="exact"/>
              <w:ind w:left="-164" w:leftChars="-78" w:right="-153" w:rightChars="-73"/>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ind w:left="-99" w:leftChars="-47" w:right="-78" w:rightChars="-37"/>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ind w:left="-136" w:leftChars="-65" w:right="-124" w:rightChars="-59"/>
              <w:jc w:val="center"/>
              <w:rPr>
                <w:rFonts w:ascii="宋体" w:hAnsi="宋体" w:eastAsia="黑体"/>
                <w:color w:val="auto"/>
                <w:spacing w:val="0"/>
                <w:kern w:val="0"/>
                <w:sz w:val="20"/>
                <w:szCs w:val="20"/>
              </w:rPr>
            </w:pPr>
            <w:r>
              <w:rPr>
                <w:rFonts w:ascii="宋体" w:hAnsi="宋体" w:eastAsia="黑体"/>
                <w:color w:val="auto"/>
                <w:spacing w:val="0"/>
                <w:kern w:val="0"/>
                <w:sz w:val="20"/>
                <w:szCs w:val="20"/>
              </w:rPr>
              <w:t>结果</w:t>
            </w:r>
          </w:p>
          <w:p>
            <w:pPr>
              <w:keepNext w:val="0"/>
              <w:keepLines w:val="0"/>
              <w:pageBreakBefore w:val="0"/>
              <w:widowControl/>
              <w:kinsoku/>
              <w:wordWrap/>
              <w:overflowPunct w:val="0"/>
              <w:topLinePunct w:val="0"/>
              <w:bidi w:val="0"/>
              <w:spacing w:line="560" w:lineRule="exact"/>
              <w:ind w:left="-136" w:leftChars="-65" w:right="-124" w:rightChars="-59"/>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ind w:left="-173" w:leftChars="-83" w:right="-134" w:rightChars="-64" w:hanging="1"/>
              <w:jc w:val="center"/>
              <w:rPr>
                <w:rFonts w:ascii="宋体" w:hAnsi="宋体" w:eastAsia="黑体"/>
                <w:color w:val="auto"/>
                <w:spacing w:val="0"/>
                <w:kern w:val="0"/>
                <w:sz w:val="20"/>
                <w:szCs w:val="20"/>
              </w:rPr>
            </w:pPr>
            <w:r>
              <w:rPr>
                <w:rFonts w:ascii="宋体" w:hAnsi="宋体" w:eastAsia="黑体"/>
                <w:color w:val="auto"/>
                <w:spacing w:val="0"/>
                <w:kern w:val="0"/>
                <w:sz w:val="20"/>
                <w:szCs w:val="20"/>
              </w:rPr>
              <w:t>其他</w:t>
            </w:r>
          </w:p>
          <w:p>
            <w:pPr>
              <w:keepNext w:val="0"/>
              <w:keepLines w:val="0"/>
              <w:pageBreakBefore w:val="0"/>
              <w:widowControl/>
              <w:kinsoku/>
              <w:wordWrap/>
              <w:overflowPunct w:val="0"/>
              <w:topLinePunct w:val="0"/>
              <w:bidi w:val="0"/>
              <w:spacing w:line="560" w:lineRule="exact"/>
              <w:ind w:left="-173" w:leftChars="-83" w:right="-134" w:rightChars="-64" w:hanging="1" w:firstLineChars="0"/>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ind w:left="-67" w:leftChars="-33" w:right="-105" w:rightChars="-50" w:hanging="2" w:hangingChars="1"/>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bidi w:val="0"/>
              <w:spacing w:line="560" w:lineRule="exact"/>
              <w:jc w:val="center"/>
              <w:rPr>
                <w:rFonts w:ascii="宋体" w:hAnsi="宋体" w:eastAsia="黑体" w:cs="Arial"/>
                <w:snapToGrid w:val="0"/>
                <w:color w:val="auto"/>
                <w:spacing w:val="0"/>
                <w:kern w:val="0"/>
                <w:sz w:val="21"/>
                <w:szCs w:val="21"/>
              </w:rPr>
            </w:pPr>
            <w:r>
              <w:rPr>
                <w:rFonts w:ascii="宋体" w:hAnsi="宋体" w:eastAsia="黑体"/>
                <w:color w:val="auto"/>
                <w:spacing w:val="0"/>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6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560" w:lineRule="exact"/>
              <w:jc w:val="center"/>
              <w:textAlignment w:val="auto"/>
              <w:outlineLvl w:val="9"/>
              <w:rPr>
                <w:rFonts w:hint="eastAsia" w:ascii="宋体" w:hAnsi="宋体" w:eastAsia="仿宋_GB2312" w:cs="Arial"/>
                <w:snapToGrid w:val="0"/>
                <w:color w:val="auto"/>
                <w:spacing w:val="0"/>
                <w:kern w:val="0"/>
                <w:sz w:val="20"/>
                <w:szCs w:val="20"/>
                <w:lang w:val="en-US" w:eastAsia="zh-CN"/>
              </w:rPr>
            </w:pPr>
            <w:r>
              <w:rPr>
                <w:rFonts w:hint="eastAsia" w:ascii="宋体" w:hAnsi="宋体" w:eastAsia="仿宋_GB2312"/>
                <w:color w:val="auto"/>
                <w:spacing w:val="0"/>
                <w:sz w:val="20"/>
                <w:szCs w:val="20"/>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560" w:lineRule="exact"/>
              <w:jc w:val="center"/>
              <w:textAlignment w:val="auto"/>
              <w:outlineLvl w:val="9"/>
              <w:rPr>
                <w:rFonts w:hint="eastAsia" w:ascii="宋体" w:hAnsi="宋体" w:eastAsia="仿宋_GB2312" w:cs="Arial"/>
                <w:snapToGrid w:val="0"/>
                <w:color w:val="auto"/>
                <w:spacing w:val="0"/>
                <w:kern w:val="0"/>
                <w:sz w:val="20"/>
                <w:szCs w:val="20"/>
                <w:lang w:val="en-US" w:eastAsia="zh-CN"/>
              </w:rPr>
            </w:pPr>
            <w:r>
              <w:rPr>
                <w:rFonts w:hint="eastAsia" w:ascii="宋体" w:hAnsi="宋体" w:eastAsia="仿宋_GB2312"/>
                <w:color w:val="auto"/>
                <w:spacing w:val="0"/>
                <w:sz w:val="20"/>
                <w:szCs w:val="20"/>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560" w:lineRule="exact"/>
              <w:jc w:val="center"/>
              <w:textAlignment w:val="auto"/>
              <w:outlineLvl w:val="9"/>
              <w:rPr>
                <w:rFonts w:ascii="宋体" w:hAnsi="宋体" w:eastAsia="仿宋_GB2312" w:cs="Arial"/>
                <w:snapToGrid w:val="0"/>
                <w:color w:val="auto"/>
                <w:spacing w:val="0"/>
                <w:kern w:val="0"/>
                <w:sz w:val="20"/>
                <w:szCs w:val="20"/>
              </w:rPr>
            </w:pPr>
            <w:r>
              <w:rPr>
                <w:rFonts w:hint="eastAsia" w:ascii="宋体" w:hAnsi="宋体" w:eastAsia="仿宋_GB2312"/>
                <w:color w:val="auto"/>
                <w:spacing w:val="0"/>
                <w:sz w:val="20"/>
                <w:szCs w:val="20"/>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560" w:lineRule="exact"/>
              <w:jc w:val="center"/>
              <w:textAlignment w:val="auto"/>
              <w:outlineLvl w:val="9"/>
              <w:rPr>
                <w:rFonts w:ascii="宋体" w:hAnsi="宋体" w:eastAsia="仿宋_GB2312" w:cs="Arial"/>
                <w:snapToGrid w:val="0"/>
                <w:color w:val="auto"/>
                <w:spacing w:val="0"/>
                <w:kern w:val="0"/>
                <w:sz w:val="20"/>
                <w:szCs w:val="20"/>
              </w:rPr>
            </w:pPr>
            <w:r>
              <w:rPr>
                <w:rFonts w:hint="eastAsia" w:ascii="宋体" w:hAnsi="宋体" w:eastAsia="仿宋_GB2312"/>
                <w:color w:val="auto"/>
                <w:spacing w:val="0"/>
                <w:sz w:val="20"/>
                <w:szCs w:val="20"/>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560" w:lineRule="exact"/>
              <w:jc w:val="center"/>
              <w:textAlignment w:val="auto"/>
              <w:outlineLvl w:val="9"/>
              <w:rPr>
                <w:rFonts w:ascii="宋体" w:hAnsi="宋体" w:eastAsia="仿宋_GB2312" w:cs="Arial"/>
                <w:snapToGrid w:val="0"/>
                <w:color w:val="auto"/>
                <w:spacing w:val="0"/>
                <w:kern w:val="0"/>
                <w:sz w:val="20"/>
                <w:szCs w:val="20"/>
              </w:rPr>
            </w:pPr>
            <w:r>
              <w:rPr>
                <w:rFonts w:hint="eastAsia" w:ascii="宋体" w:hAnsi="宋体" w:eastAsia="仿宋_GB2312"/>
                <w:color w:val="auto"/>
                <w:spacing w:val="0"/>
                <w:sz w:val="20"/>
                <w:szCs w:val="20"/>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560" w:lineRule="exact"/>
              <w:jc w:val="center"/>
              <w:textAlignment w:val="auto"/>
              <w:outlineLvl w:val="9"/>
              <w:rPr>
                <w:rFonts w:ascii="宋体" w:hAnsi="宋体" w:eastAsia="仿宋_GB2312" w:cs="Arial"/>
                <w:snapToGrid w:val="0"/>
                <w:color w:val="auto"/>
                <w:spacing w:val="0"/>
                <w:kern w:val="0"/>
                <w:sz w:val="20"/>
                <w:szCs w:val="20"/>
              </w:rPr>
            </w:pPr>
            <w:r>
              <w:rPr>
                <w:rFonts w:hint="eastAsia" w:ascii="宋体" w:hAnsi="宋体" w:eastAsia="仿宋_GB2312"/>
                <w:color w:val="auto"/>
                <w:spacing w:val="0"/>
                <w:sz w:val="20"/>
                <w:szCs w:val="20"/>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560" w:lineRule="exact"/>
              <w:jc w:val="center"/>
              <w:textAlignment w:val="auto"/>
              <w:outlineLvl w:val="9"/>
              <w:rPr>
                <w:rFonts w:ascii="宋体" w:hAnsi="宋体" w:eastAsia="仿宋_GB2312" w:cs="Arial"/>
                <w:snapToGrid w:val="0"/>
                <w:color w:val="auto"/>
                <w:spacing w:val="0"/>
                <w:kern w:val="0"/>
                <w:sz w:val="20"/>
                <w:szCs w:val="20"/>
                <w:lang w:val="en-US"/>
              </w:rPr>
            </w:pPr>
            <w:r>
              <w:rPr>
                <w:rFonts w:hint="eastAsia" w:ascii="宋体" w:hAnsi="宋体" w:eastAsia="仿宋_GB2312"/>
                <w:color w:val="auto"/>
                <w:spacing w:val="0"/>
                <w:sz w:val="20"/>
                <w:szCs w:val="20"/>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560" w:lineRule="exact"/>
              <w:jc w:val="center"/>
              <w:textAlignment w:val="auto"/>
              <w:outlineLvl w:val="9"/>
              <w:rPr>
                <w:rFonts w:hint="eastAsia" w:ascii="宋体" w:hAnsi="宋体" w:eastAsia="仿宋_GB2312" w:cs="Arial"/>
                <w:snapToGrid w:val="0"/>
                <w:color w:val="auto"/>
                <w:spacing w:val="0"/>
                <w:kern w:val="0"/>
                <w:sz w:val="20"/>
                <w:szCs w:val="20"/>
                <w:lang w:val="en-US" w:eastAsia="zh-CN"/>
              </w:rPr>
            </w:pPr>
            <w:r>
              <w:rPr>
                <w:rFonts w:hint="eastAsia" w:ascii="宋体" w:hAnsi="宋体" w:eastAsia="仿宋_GB2312"/>
                <w:color w:val="auto"/>
                <w:spacing w:val="0"/>
                <w:sz w:val="20"/>
                <w:szCs w:val="20"/>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560" w:lineRule="exact"/>
              <w:jc w:val="center"/>
              <w:textAlignment w:val="auto"/>
              <w:outlineLvl w:val="9"/>
              <w:rPr>
                <w:rFonts w:hint="eastAsia" w:ascii="宋体" w:hAnsi="宋体" w:eastAsia="仿宋_GB2312" w:cs="Arial"/>
                <w:snapToGrid w:val="0"/>
                <w:color w:val="auto"/>
                <w:spacing w:val="0"/>
                <w:kern w:val="0"/>
                <w:sz w:val="20"/>
                <w:szCs w:val="20"/>
                <w:lang w:val="en-US" w:eastAsia="zh-CN"/>
              </w:rPr>
            </w:pPr>
            <w:r>
              <w:rPr>
                <w:rFonts w:hint="eastAsia" w:ascii="宋体" w:hAnsi="宋体" w:eastAsia="仿宋_GB2312"/>
                <w:color w:val="auto"/>
                <w:spacing w:val="0"/>
                <w:sz w:val="20"/>
                <w:szCs w:val="20"/>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560" w:lineRule="exact"/>
              <w:jc w:val="center"/>
              <w:textAlignment w:val="auto"/>
              <w:outlineLvl w:val="9"/>
              <w:rPr>
                <w:rFonts w:hint="eastAsia" w:ascii="宋体" w:hAnsi="宋体" w:eastAsia="仿宋_GB2312" w:cs="Arial"/>
                <w:snapToGrid w:val="0"/>
                <w:color w:val="auto"/>
                <w:spacing w:val="0"/>
                <w:kern w:val="0"/>
                <w:sz w:val="20"/>
                <w:szCs w:val="20"/>
                <w:lang w:val="en-US" w:eastAsia="zh-CN"/>
              </w:rPr>
            </w:pPr>
            <w:r>
              <w:rPr>
                <w:rFonts w:hint="eastAsia" w:ascii="宋体" w:hAnsi="宋体" w:eastAsia="仿宋_GB2312"/>
                <w:color w:val="auto"/>
                <w:spacing w:val="0"/>
                <w:sz w:val="20"/>
                <w:szCs w:val="20"/>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560" w:lineRule="exact"/>
              <w:jc w:val="center"/>
              <w:textAlignment w:val="auto"/>
              <w:outlineLvl w:val="9"/>
              <w:rPr>
                <w:rFonts w:ascii="宋体" w:hAnsi="宋体" w:eastAsia="仿宋_GB2312" w:cs="Arial"/>
                <w:snapToGrid w:val="0"/>
                <w:color w:val="auto"/>
                <w:spacing w:val="0"/>
                <w:kern w:val="0"/>
                <w:sz w:val="20"/>
                <w:szCs w:val="20"/>
              </w:rPr>
            </w:pPr>
            <w:r>
              <w:rPr>
                <w:rFonts w:hint="eastAsia" w:ascii="宋体" w:hAnsi="宋体" w:eastAsia="仿宋_GB2312"/>
                <w:color w:val="auto"/>
                <w:spacing w:val="0"/>
                <w:sz w:val="20"/>
                <w:szCs w:val="20"/>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560" w:lineRule="exact"/>
              <w:jc w:val="center"/>
              <w:textAlignment w:val="auto"/>
              <w:outlineLvl w:val="9"/>
              <w:rPr>
                <w:rFonts w:ascii="宋体" w:hAnsi="宋体" w:eastAsia="仿宋_GB2312" w:cs="Arial"/>
                <w:snapToGrid w:val="0"/>
                <w:color w:val="auto"/>
                <w:spacing w:val="0"/>
                <w:kern w:val="0"/>
                <w:sz w:val="20"/>
                <w:szCs w:val="20"/>
              </w:rPr>
            </w:pPr>
            <w:r>
              <w:rPr>
                <w:rFonts w:hint="eastAsia" w:ascii="宋体" w:hAnsi="宋体" w:eastAsia="仿宋_GB2312"/>
                <w:color w:val="auto"/>
                <w:spacing w:val="0"/>
                <w:sz w:val="20"/>
                <w:szCs w:val="20"/>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560" w:lineRule="exact"/>
              <w:jc w:val="center"/>
              <w:textAlignment w:val="auto"/>
              <w:outlineLvl w:val="9"/>
              <w:rPr>
                <w:rFonts w:ascii="宋体" w:hAnsi="宋体" w:eastAsia="仿宋_GB2312" w:cs="Arial"/>
                <w:snapToGrid w:val="0"/>
                <w:color w:val="auto"/>
                <w:spacing w:val="0"/>
                <w:kern w:val="0"/>
                <w:sz w:val="20"/>
                <w:szCs w:val="20"/>
              </w:rPr>
            </w:pPr>
            <w:r>
              <w:rPr>
                <w:rFonts w:hint="eastAsia" w:ascii="宋体" w:hAnsi="宋体" w:eastAsia="仿宋_GB2312"/>
                <w:color w:val="auto"/>
                <w:spacing w:val="0"/>
                <w:sz w:val="20"/>
                <w:szCs w:val="20"/>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560" w:lineRule="exact"/>
              <w:jc w:val="center"/>
              <w:textAlignment w:val="auto"/>
              <w:outlineLvl w:val="9"/>
              <w:rPr>
                <w:rFonts w:ascii="宋体" w:hAnsi="宋体" w:eastAsia="仿宋_GB2312" w:cs="Arial"/>
                <w:snapToGrid w:val="0"/>
                <w:color w:val="auto"/>
                <w:spacing w:val="0"/>
                <w:kern w:val="0"/>
                <w:sz w:val="20"/>
                <w:szCs w:val="20"/>
                <w:lang w:val="en-US"/>
              </w:rPr>
            </w:pPr>
            <w:r>
              <w:rPr>
                <w:rFonts w:hint="eastAsia" w:ascii="宋体" w:hAnsi="宋体" w:eastAsia="仿宋_GB2312"/>
                <w:color w:val="auto"/>
                <w:spacing w:val="0"/>
                <w:sz w:val="20"/>
                <w:szCs w:val="20"/>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val="0"/>
              <w:topLinePunct w:val="0"/>
              <w:autoSpaceDE/>
              <w:autoSpaceDN/>
              <w:bidi w:val="0"/>
              <w:adjustRightInd/>
              <w:snapToGrid/>
              <w:spacing w:line="560" w:lineRule="exact"/>
              <w:jc w:val="center"/>
              <w:textAlignment w:val="auto"/>
              <w:outlineLvl w:val="9"/>
              <w:rPr>
                <w:rFonts w:hint="eastAsia" w:ascii="宋体" w:hAnsi="宋体" w:eastAsia="仿宋_GB2312" w:cs="Arial"/>
                <w:snapToGrid w:val="0"/>
                <w:color w:val="auto"/>
                <w:spacing w:val="0"/>
                <w:kern w:val="0"/>
                <w:sz w:val="20"/>
                <w:szCs w:val="20"/>
                <w:lang w:val="en-US" w:eastAsia="zh-CN"/>
              </w:rPr>
            </w:pPr>
            <w:r>
              <w:rPr>
                <w:rFonts w:hint="eastAsia" w:ascii="宋体" w:hAnsi="宋体" w:eastAsia="仿宋_GB2312"/>
                <w:color w:val="auto"/>
                <w:spacing w:val="0"/>
                <w:sz w:val="20"/>
                <w:szCs w:val="20"/>
                <w:lang w:val="en-US" w:eastAsia="zh-CN"/>
              </w:rPr>
              <w:t>0</w:t>
            </w: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hint="eastAsia" w:ascii="宋体" w:hAnsi="宋体" w:eastAsia="黑体" w:cs="黑体"/>
          <w:b w:val="0"/>
          <w:bCs/>
          <w:i w:val="0"/>
          <w:caps w:val="0"/>
          <w:color w:val="auto"/>
          <w:spacing w:val="0"/>
          <w:kern w:val="0"/>
          <w:sz w:val="32"/>
          <w:szCs w:val="32"/>
          <w:shd w:val="clear" w:fill="FFFFFF"/>
          <w:lang w:val="en-US" w:eastAsia="zh-CN" w:bidi="ar"/>
        </w:rPr>
      </w:pPr>
      <w:r>
        <w:rPr>
          <w:rFonts w:hint="eastAsia" w:ascii="宋体" w:hAnsi="宋体" w:eastAsia="黑体" w:cs="黑体"/>
          <w:b w:val="0"/>
          <w:bCs/>
          <w:i w:val="0"/>
          <w:caps w:val="0"/>
          <w:color w:val="auto"/>
          <w:spacing w:val="0"/>
          <w:kern w:val="0"/>
          <w:sz w:val="32"/>
          <w:szCs w:val="32"/>
          <w:shd w:val="clear" w:fill="FFFFFF"/>
          <w:lang w:val="en-US" w:eastAsia="zh-CN" w:bidi="ar"/>
        </w:rPr>
        <w:t>五、存在的主要问题及改进情况</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hint="eastAsia" w:ascii="宋体" w:hAnsi="宋体" w:eastAsia="仿宋_GB2312" w:cs="仿宋_GB2312"/>
          <w:i w:val="0"/>
          <w:caps w:val="0"/>
          <w:color w:val="auto"/>
          <w:spacing w:val="0"/>
          <w:kern w:val="2"/>
          <w:sz w:val="32"/>
          <w:szCs w:val="32"/>
          <w:shd w:val="clear" w:fill="FFFFFF"/>
          <w:lang w:val="en-US" w:eastAsia="zh-CN" w:bidi="ar-SA"/>
        </w:rPr>
      </w:pPr>
      <w:r>
        <w:rPr>
          <w:rFonts w:hint="eastAsia" w:ascii="宋体" w:hAnsi="宋体" w:eastAsia="仿宋_GB2312" w:cs="仿宋_GB2312"/>
          <w:i w:val="0"/>
          <w:caps w:val="0"/>
          <w:color w:val="auto"/>
          <w:spacing w:val="0"/>
          <w:kern w:val="2"/>
          <w:sz w:val="32"/>
          <w:szCs w:val="32"/>
          <w:shd w:val="clear" w:fill="FFFFFF"/>
          <w:lang w:val="en-US" w:eastAsia="zh-CN" w:bidi="ar-SA"/>
        </w:rPr>
        <w:t>（一）主要问题</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hint="eastAsia" w:ascii="宋体" w:hAnsi="宋体" w:eastAsia="仿宋_GB2312" w:cs="仿宋_GB2312"/>
          <w:i w:val="0"/>
          <w:caps w:val="0"/>
          <w:color w:val="auto"/>
          <w:spacing w:val="0"/>
          <w:kern w:val="2"/>
          <w:sz w:val="32"/>
          <w:szCs w:val="32"/>
          <w:shd w:val="clear" w:fill="FFFFFF"/>
          <w:lang w:val="en-US" w:eastAsia="zh-CN" w:bidi="ar-SA"/>
        </w:rPr>
      </w:pPr>
      <w:r>
        <w:rPr>
          <w:rFonts w:hint="eastAsia" w:ascii="宋体" w:hAnsi="宋体" w:eastAsia="仿宋_GB2312" w:cs="仿宋_GB2312"/>
          <w:i w:val="0"/>
          <w:caps w:val="0"/>
          <w:color w:val="auto"/>
          <w:spacing w:val="0"/>
          <w:kern w:val="2"/>
          <w:sz w:val="32"/>
          <w:szCs w:val="32"/>
          <w:shd w:val="clear" w:fill="FFFFFF"/>
          <w:lang w:val="en-US" w:eastAsia="zh-CN" w:bidi="ar-SA"/>
        </w:rPr>
        <w:t>2022年，我镇政府信息公开工作虽然取得一定的成绩，但与社会公众对政府信息公开的需求还存在一定的差距,主要表现在一是政务公开网站信息分类需进一步简化、细化；二是对政府网站的信息公开作用宣传力度不够，阅读量较低，公众参与度不高。</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hint="eastAsia" w:ascii="宋体" w:hAnsi="宋体" w:eastAsia="仿宋_GB2312" w:cs="仿宋_GB2312"/>
          <w:i w:val="0"/>
          <w:caps w:val="0"/>
          <w:color w:val="auto"/>
          <w:spacing w:val="0"/>
          <w:kern w:val="2"/>
          <w:sz w:val="32"/>
          <w:szCs w:val="32"/>
          <w:shd w:val="clear" w:fill="FFFFFF"/>
          <w:lang w:val="en-US" w:eastAsia="zh-CN" w:bidi="ar-SA"/>
        </w:rPr>
      </w:pPr>
      <w:r>
        <w:rPr>
          <w:rFonts w:hint="eastAsia" w:ascii="宋体" w:hAnsi="宋体" w:eastAsia="仿宋_GB2312" w:cs="仿宋_GB2312"/>
          <w:i w:val="0"/>
          <w:caps w:val="0"/>
          <w:color w:val="auto"/>
          <w:spacing w:val="0"/>
          <w:kern w:val="2"/>
          <w:sz w:val="32"/>
          <w:szCs w:val="32"/>
          <w:shd w:val="clear" w:fill="FFFFFF"/>
          <w:lang w:val="en-US" w:eastAsia="zh-CN" w:bidi="ar-SA"/>
        </w:rPr>
        <w:t>（二）改进措施</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hint="eastAsia" w:ascii="宋体" w:hAnsi="宋体" w:eastAsia="仿宋_GB2312" w:cs="仿宋_GB2312"/>
          <w:b w:val="0"/>
          <w:bCs/>
          <w:i w:val="0"/>
          <w:caps w:val="0"/>
          <w:color w:val="auto"/>
          <w:spacing w:val="0"/>
          <w:kern w:val="0"/>
          <w:sz w:val="32"/>
          <w:szCs w:val="32"/>
          <w:shd w:val="clear" w:fill="FFFFFF"/>
          <w:lang w:val="en-US" w:eastAsia="zh-CN" w:bidi="ar"/>
        </w:rPr>
      </w:pPr>
      <w:r>
        <w:rPr>
          <w:rFonts w:hint="eastAsia" w:ascii="宋体" w:hAnsi="宋体" w:eastAsia="仿宋_GB2312" w:cs="仿宋_GB2312"/>
          <w:b w:val="0"/>
          <w:bCs/>
          <w:i w:val="0"/>
          <w:caps w:val="0"/>
          <w:color w:val="auto"/>
          <w:spacing w:val="0"/>
          <w:kern w:val="0"/>
          <w:sz w:val="32"/>
          <w:szCs w:val="32"/>
          <w:shd w:val="clear" w:fill="FFFFFF"/>
          <w:lang w:val="en-US" w:eastAsia="zh-CN" w:bidi="ar"/>
        </w:rPr>
        <w:t>2023年，我镇将按照《条例》和市、区对政府信息公开的相关要求，继续大力推进政府信息公开工作，主要是做好以下几方面工作：一是不断完善政府信息公开各项规章制度，对政务公开平台的各专栏进行重新梳理和划分，明确各专栏报送信息的内容和形式，确保政务信息分类准确、保持网站页面整洁有序、方便群众查询查阅。二是加强政府信息公开业务学习和培训，坚持定时开展业务培训会，提高信息公开工作人员业务能力，加强工作经验交流。三是紧紧围绕实施政府信息公开工作，多渠道、多形式向社会和广大群众深入宣传政府信息公开工作，努力在汪疃镇形成各级干部认真抓好政府信息公开、群众积极关心政府信息公开的社会氛围。</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hint="eastAsia" w:ascii="宋体" w:hAnsi="宋体" w:eastAsia="黑体" w:cs="黑体"/>
          <w:b w:val="0"/>
          <w:bCs/>
          <w:i w:val="0"/>
          <w:caps w:val="0"/>
          <w:color w:val="auto"/>
          <w:spacing w:val="0"/>
          <w:kern w:val="0"/>
          <w:sz w:val="32"/>
          <w:szCs w:val="32"/>
          <w:shd w:val="clear" w:fill="FFFFFF"/>
          <w:lang w:val="en-US" w:eastAsia="zh-CN" w:bidi="ar"/>
        </w:rPr>
      </w:pPr>
      <w:r>
        <w:rPr>
          <w:rFonts w:hint="eastAsia" w:ascii="宋体" w:hAnsi="宋体" w:eastAsia="黑体" w:cs="黑体"/>
          <w:b w:val="0"/>
          <w:bCs/>
          <w:i w:val="0"/>
          <w:caps w:val="0"/>
          <w:color w:val="auto"/>
          <w:spacing w:val="0"/>
          <w:kern w:val="0"/>
          <w:sz w:val="32"/>
          <w:szCs w:val="32"/>
          <w:shd w:val="clear" w:fill="FFFFFF"/>
          <w:lang w:val="en-US" w:eastAsia="zh-CN" w:bidi="ar"/>
        </w:rPr>
        <w:t>六、其他需要报告的事项</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hint="eastAsia" w:ascii="宋体" w:hAnsi="宋体" w:eastAsia="仿宋_GB2312" w:cs="仿宋_GB2312"/>
          <w:b w:val="0"/>
          <w:bCs/>
          <w:i w:val="0"/>
          <w:caps w:val="0"/>
          <w:color w:val="auto"/>
          <w:spacing w:val="0"/>
          <w:kern w:val="0"/>
          <w:sz w:val="32"/>
          <w:szCs w:val="32"/>
          <w:shd w:val="clear" w:fill="FFFFFF"/>
          <w:lang w:val="en-US" w:eastAsia="zh-CN" w:bidi="ar"/>
        </w:rPr>
      </w:pPr>
      <w:r>
        <w:rPr>
          <w:rFonts w:hint="eastAsia" w:ascii="宋体" w:hAnsi="宋体" w:eastAsia="仿宋_GB2312" w:cs="仿宋_GB2312"/>
          <w:b w:val="0"/>
          <w:bCs/>
          <w:i w:val="0"/>
          <w:caps w:val="0"/>
          <w:color w:val="auto"/>
          <w:spacing w:val="0"/>
          <w:kern w:val="0"/>
          <w:sz w:val="32"/>
          <w:szCs w:val="32"/>
          <w:shd w:val="clear" w:fill="FFFFFF"/>
          <w:lang w:val="en-US" w:eastAsia="zh-CN" w:bidi="ar"/>
        </w:rPr>
        <w:t>（一）政府信息公开信息处理费收取情况。截至2022年12月31日，我镇未收到依申请公开受理申请，因此未收取政府信息公开信息处理费。</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hint="eastAsia" w:ascii="宋体" w:hAnsi="宋体" w:eastAsia="仿宋_GB2312" w:cs="仿宋_GB2312"/>
          <w:b w:val="0"/>
          <w:bCs/>
          <w:i w:val="0"/>
          <w:caps w:val="0"/>
          <w:color w:val="auto"/>
          <w:spacing w:val="0"/>
          <w:kern w:val="0"/>
          <w:sz w:val="32"/>
          <w:szCs w:val="32"/>
          <w:shd w:val="clear" w:fill="FFFFFF"/>
          <w:lang w:val="en-US" w:eastAsia="zh-CN" w:bidi="ar"/>
        </w:rPr>
      </w:pPr>
      <w:r>
        <w:rPr>
          <w:rFonts w:hint="eastAsia" w:ascii="宋体" w:hAnsi="宋体" w:eastAsia="仿宋_GB2312" w:cs="仿宋_GB2312"/>
          <w:b w:val="0"/>
          <w:bCs/>
          <w:i w:val="0"/>
          <w:caps w:val="0"/>
          <w:color w:val="auto"/>
          <w:spacing w:val="0"/>
          <w:kern w:val="0"/>
          <w:sz w:val="32"/>
          <w:szCs w:val="32"/>
          <w:shd w:val="clear" w:fill="FFFFFF"/>
          <w:lang w:val="en-US" w:eastAsia="zh-CN" w:bidi="ar"/>
        </w:rPr>
        <w:t>（二）人大建议提案办理公开情况。2022年度我镇无相关建议提案办理工作。</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hint="eastAsia" w:ascii="宋体" w:hAnsi="宋体" w:eastAsia="仿宋_GB2312" w:cs="仿宋_GB2312"/>
          <w:b w:val="0"/>
          <w:bCs/>
          <w:i w:val="0"/>
          <w:caps w:val="0"/>
          <w:color w:val="auto"/>
          <w:spacing w:val="0"/>
          <w:kern w:val="0"/>
          <w:sz w:val="32"/>
          <w:szCs w:val="32"/>
          <w:shd w:val="clear" w:fill="FFFFFF"/>
          <w:lang w:val="en-US" w:eastAsia="zh-CN" w:bidi="ar"/>
        </w:rPr>
      </w:pPr>
      <w:r>
        <w:rPr>
          <w:rFonts w:hint="eastAsia" w:ascii="宋体" w:hAnsi="宋体" w:eastAsia="仿宋_GB2312" w:cs="仿宋_GB2312"/>
          <w:b w:val="0"/>
          <w:bCs/>
          <w:i w:val="0"/>
          <w:caps w:val="0"/>
          <w:color w:val="auto"/>
          <w:spacing w:val="0"/>
          <w:kern w:val="0"/>
          <w:sz w:val="32"/>
          <w:szCs w:val="32"/>
          <w:shd w:val="clear" w:fill="FFFFFF"/>
          <w:lang w:val="en-US" w:eastAsia="zh-CN" w:bidi="ar"/>
        </w:rPr>
        <w:t>（三）政务公开工作创新情况。2022年汪疃镇开设政府开放日，邀请各行各业代表实地了解汪疃镇政务工作，拓宽政务公开渠道，搭建政民互动桥梁，促进政府信息公开，提升信息公开能力和水平。</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hint="eastAsia" w:ascii="宋体" w:hAnsi="宋体" w:eastAsia="仿宋_GB2312" w:cs="仿宋_GB2312"/>
          <w:color w:val="auto"/>
          <w:sz w:val="32"/>
          <w:szCs w:val="32"/>
          <w:lang w:eastAsia="zh-CN"/>
        </w:rPr>
      </w:pPr>
      <w:r>
        <w:rPr>
          <w:rFonts w:hint="eastAsia" w:ascii="宋体" w:hAnsi="宋体" w:eastAsia="仿宋_GB2312" w:cs="仿宋_GB2312"/>
          <w:b w:val="0"/>
          <w:bCs/>
          <w:i w:val="0"/>
          <w:caps w:val="0"/>
          <w:color w:val="auto"/>
          <w:spacing w:val="0"/>
          <w:kern w:val="0"/>
          <w:sz w:val="32"/>
          <w:szCs w:val="32"/>
          <w:shd w:val="clear" w:fill="FFFFFF"/>
          <w:lang w:val="en-US" w:eastAsia="zh-CN" w:bidi="ar"/>
        </w:rPr>
        <w:t>（四）无其他有关文件专门要求通过政府信息公开工作年度报告予以报告的事项。</w:t>
      </w:r>
    </w:p>
    <w:sectPr>
      <w:pgSz w:w="11906" w:h="16838"/>
      <w:pgMar w:top="2098" w:right="1474" w:bottom="1871" w:left="1587"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decorative"/>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ExMzNlNTdlMDJiNmI2YzE0OGM3MmEyYzRmNjE4Y2MifQ=="/>
  </w:docVars>
  <w:rsids>
    <w:rsidRoot w:val="36E36157"/>
    <w:rsid w:val="1D273168"/>
    <w:rsid w:val="36E36157"/>
    <w:rsid w:val="3CFD3FE3"/>
    <w:rsid w:val="456566F9"/>
    <w:rsid w:val="64DE1CBD"/>
    <w:rsid w:val="76D901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 w:type="character" w:styleId="9">
    <w:name w:val="FollowedHyperlink"/>
    <w:basedOn w:val="7"/>
    <w:qFormat/>
    <w:uiPriority w:val="0"/>
    <w:rPr>
      <w:color w:val="800080"/>
      <w:u w:val="none"/>
    </w:rPr>
  </w:style>
  <w:style w:type="character" w:styleId="10">
    <w:name w:val="Hyperlink"/>
    <w:basedOn w:val="7"/>
    <w:qFormat/>
    <w:uiPriority w:val="0"/>
    <w:rPr>
      <w:color w:val="0000FF"/>
      <w:u w:val="none"/>
    </w:rPr>
  </w:style>
  <w:style w:type="table" w:customStyle="1" w:styleId="11">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2425</Words>
  <Characters>2491</Characters>
  <Lines>0</Lines>
  <Paragraphs>0</Paragraphs>
  <TotalTime>83</TotalTime>
  <ScaleCrop>false</ScaleCrop>
  <LinksUpToDate>false</LinksUpToDate>
  <CharactersWithSpaces>2491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2023-01-17T06:18:00Z</dcterms:created>
  <dc:creator>WPS_1555235290</dc:creator>
  <cp:lastModifiedBy>好姑娘万丈光芒 </cp:lastModifiedBy>
  <cp:lastPrinted>2023-01-18T07:25:00Z</cp:lastPrinted>
  <dcterms:modified xsi:type="dcterms:W3CDTF">2023-05-11T01:44:09Z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55E1F01CE60C495B87E6AC8E8FA5630F</vt:lpwstr>
  </property>
</Properties>
</file>