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7A7BF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Times New Roman" w:hAnsi="Times New Roman" w:eastAsia="方正小标宋_GBK" w:cs="方正小标宋_GBK"/>
          <w:b w:val="0"/>
          <w:bCs/>
          <w:i w:val="0"/>
          <w:caps w:val="0"/>
          <w:color w:val="333333"/>
          <w:spacing w:val="0"/>
          <w:sz w:val="44"/>
          <w:szCs w:val="44"/>
          <w:shd w:val="clear" w:fill="FFFFFF"/>
          <w:lang w:eastAsia="zh-CN"/>
        </w:rPr>
      </w:pPr>
    </w:p>
    <w:p w14:paraId="760F9FB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Times New Roman" w:hAnsi="Times New Roman" w:eastAsia="方正小标宋_GBK" w:cs="方正小标宋_GBK"/>
          <w:b w:val="0"/>
          <w:bCs/>
          <w:i w:val="0"/>
          <w:caps w:val="0"/>
          <w:color w:val="333333"/>
          <w:spacing w:val="-17"/>
          <w:sz w:val="44"/>
          <w:szCs w:val="44"/>
          <w:shd w:val="clear" w:fill="FFFFFF"/>
          <w:lang w:val="en-US" w:eastAsia="zh-CN"/>
        </w:rPr>
      </w:pPr>
      <w:r>
        <w:rPr>
          <w:rFonts w:hint="eastAsia" w:ascii="Times New Roman" w:hAnsi="Times New Roman" w:eastAsia="方正小标宋_GBK" w:cs="方正小标宋_GBK"/>
          <w:b w:val="0"/>
          <w:bCs/>
          <w:i w:val="0"/>
          <w:caps w:val="0"/>
          <w:color w:val="333333"/>
          <w:spacing w:val="-17"/>
          <w:sz w:val="44"/>
          <w:szCs w:val="44"/>
          <w:shd w:val="clear" w:fill="FFFFFF"/>
          <w:lang w:val="en-US" w:eastAsia="zh-CN"/>
        </w:rPr>
        <w:t>威海临港经济技术开发区草庙子镇人民政府</w:t>
      </w:r>
    </w:p>
    <w:p w14:paraId="1EADDD9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Times New Roman" w:hAnsi="Times New Roman" w:eastAsia="方正小标宋_GBK" w:cs="方正小标宋_GBK"/>
          <w:b w:val="0"/>
          <w:bCs/>
          <w:i w:val="0"/>
          <w:caps w:val="0"/>
          <w:color w:val="333333"/>
          <w:spacing w:val="-17"/>
          <w:sz w:val="44"/>
          <w:szCs w:val="44"/>
          <w:shd w:val="clear" w:fill="FFFFFF"/>
          <w:lang w:val="en-US" w:eastAsia="zh-CN"/>
        </w:rPr>
      </w:pPr>
      <w:r>
        <w:rPr>
          <w:rFonts w:hint="eastAsia" w:ascii="Times New Roman" w:hAnsi="Times New Roman" w:eastAsia="方正小标宋_GBK" w:cs="方正小标宋_GBK"/>
          <w:b w:val="0"/>
          <w:bCs/>
          <w:i w:val="0"/>
          <w:caps w:val="0"/>
          <w:color w:val="333333"/>
          <w:spacing w:val="-17"/>
          <w:sz w:val="44"/>
          <w:szCs w:val="44"/>
          <w:shd w:val="clear" w:fill="FFFFFF"/>
          <w:lang w:val="en-US" w:eastAsia="zh-CN"/>
        </w:rPr>
        <w:t>2025年政府信息公开工作年度报告</w:t>
      </w:r>
    </w:p>
    <w:p w14:paraId="24A9E952">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14:paraId="586515BB">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000000"/>
          <w:sz w:val="32"/>
          <w:szCs w:val="32"/>
        </w:rPr>
        <w:t>202</w:t>
      </w:r>
      <w:r>
        <w:rPr>
          <w:rFonts w:hint="eastAsia" w:ascii="Times New Roman" w:hAnsi="Times New Roman" w:cs="Times New Roman"/>
          <w:color w:val="000000"/>
          <w:sz w:val="32"/>
          <w:szCs w:val="32"/>
          <w:lang w:val="en-US" w:eastAsia="zh-CN"/>
        </w:rPr>
        <w:t>5</w:t>
      </w:r>
      <w:r>
        <w:rPr>
          <w:rFonts w:hint="eastAsia" w:ascii="Times New Roman" w:hAnsi="Times New Roman" w:eastAsia="仿宋_GB2312" w:cs="Times New Roman"/>
          <w:color w:val="auto"/>
          <w:sz w:val="32"/>
          <w:szCs w:val="32"/>
          <w:lang w:val="en-US" w:eastAsia="zh-CN"/>
        </w:rPr>
        <w:t>年</w:t>
      </w:r>
      <w:r>
        <w:rPr>
          <w:rFonts w:hint="default" w:ascii="Times New Roman" w:hAnsi="Times New Roman" w:eastAsia="仿宋_GB2312" w:cs="Times New Roman"/>
          <w:color w:val="auto"/>
          <w:sz w:val="32"/>
          <w:szCs w:val="32"/>
        </w:rPr>
        <w:t>威海临港经济技术开发区草庙子镇人民政府信息公开工作实际，编制发布本报告。</w:t>
      </w:r>
    </w:p>
    <w:p w14:paraId="52B18227">
      <w:pPr>
        <w:pStyle w:val="4"/>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5</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w:t>
      </w:r>
      <w:r>
        <w:rPr>
          <w:rFonts w:hint="eastAsia" w:ascii="Times New Roman" w:hAnsi="Times New Roman" w:eastAsia="仿宋_GB2312" w:cs="Times New Roman"/>
          <w:color w:val="auto"/>
          <w:sz w:val="32"/>
          <w:szCs w:val="32"/>
          <w:lang w:val="en-US" w:eastAsia="zh-CN"/>
        </w:rPr>
        <w:t>起</w:t>
      </w:r>
      <w:r>
        <w:rPr>
          <w:rFonts w:hint="default" w:ascii="Times New Roman" w:hAnsi="Times New Roman" w:eastAsia="仿宋_GB2312" w:cs="Times New Roman"/>
          <w:color w:val="auto"/>
          <w:sz w:val="32"/>
          <w:szCs w:val="32"/>
        </w:rPr>
        <w:t>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日止。报告电子版可从“威海临港经济技术开发区管委会网站”（</w:t>
      </w:r>
      <w:r>
        <w:rPr>
          <w:rFonts w:hint="default" w:ascii="Times New Roman" w:hAnsi="Times New Roman" w:eastAsia="仿宋_GB2312" w:cs="Times New Roman"/>
          <w:color w:val="auto"/>
          <w:sz w:val="32"/>
          <w:szCs w:val="32"/>
          <w:u w:val="none"/>
          <w:lang w:val="en-US" w:eastAsia="zh-CN"/>
        </w:rPr>
        <w:t>网址：</w:t>
      </w:r>
      <w:r>
        <w:rPr>
          <w:rFonts w:hint="default" w:ascii="Times New Roman" w:hAnsi="Times New Roman" w:eastAsia="仿宋_GB2312" w:cs="Times New Roman"/>
          <w:i w:val="0"/>
          <w:iCs w:val="0"/>
          <w:caps w:val="0"/>
          <w:color w:val="333333"/>
          <w:spacing w:val="0"/>
          <w:sz w:val="32"/>
          <w:szCs w:val="32"/>
          <w:shd w:val="clear" w:fill="FFFFFF"/>
        </w:rPr>
        <w:t>http://www.wip.gov.cn</w:t>
      </w:r>
      <w:r>
        <w:rPr>
          <w:rFonts w:hint="default" w:ascii="Times New Roman" w:hAnsi="Times New Roman" w:eastAsia="仿宋_GB2312" w:cs="Times New Roman"/>
          <w:color w:val="auto"/>
          <w:sz w:val="32"/>
          <w:szCs w:val="32"/>
        </w:rPr>
        <w:t>）查阅或下载。公众如需进一步咨询了解相关信息，请与威海临港经济技术开发区草庙子镇人民政府党政办公室联系（地址：威海临港经济技术开发区草庙子镇人民政府驻地，电话：</w:t>
      </w:r>
      <w:r>
        <w:rPr>
          <w:rFonts w:hint="default" w:ascii="Times New Roman" w:hAnsi="Times New Roman" w:eastAsia="仿宋_GB2312" w:cs="Times New Roman"/>
          <w:i w:val="0"/>
          <w:iCs w:val="0"/>
          <w:caps w:val="0"/>
          <w:color w:val="333333"/>
          <w:spacing w:val="0"/>
          <w:sz w:val="32"/>
          <w:szCs w:val="32"/>
          <w:shd w:val="clear" w:fill="FFFFFF"/>
        </w:rPr>
        <w:t>0631-5581077</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w:t>
      </w:r>
    </w:p>
    <w:p w14:paraId="4DA04DC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黑体" w:cs="黑体"/>
          <w:b w:val="0"/>
          <w:bCs/>
          <w:color w:val="auto"/>
          <w:kern w:val="2"/>
          <w:sz w:val="32"/>
          <w:szCs w:val="32"/>
          <w:lang w:val="en-US" w:eastAsia="zh-CN" w:bidi="ar-SA"/>
        </w:rPr>
      </w:pPr>
      <w:r>
        <w:rPr>
          <w:rFonts w:hint="eastAsia" w:ascii="Times New Roman" w:hAnsi="Times New Roman" w:eastAsia="黑体" w:cs="黑体"/>
          <w:b w:val="0"/>
          <w:bCs/>
          <w:color w:val="auto"/>
          <w:kern w:val="2"/>
          <w:sz w:val="32"/>
          <w:szCs w:val="32"/>
          <w:lang w:val="en-US" w:eastAsia="zh-CN" w:bidi="ar-SA"/>
        </w:rPr>
        <w:t>一、总体情况</w:t>
      </w:r>
    </w:p>
    <w:p w14:paraId="074CDAAD">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仿宋_GB2312" w:cs="Times New Roman"/>
          <w:b w:val="0"/>
          <w:bCs/>
          <w:color w:val="auto"/>
          <w:kern w:val="2"/>
          <w:sz w:val="32"/>
          <w:szCs w:val="32"/>
          <w:lang w:val="en-US" w:eastAsia="zh-CN" w:bidi="ar-SA"/>
        </w:rPr>
        <w:t>2025年，草庙子镇人民政府高度重视政务公开工作，严格贯彻落实临港区党政办公室要求，明确草庙子镇政务公开工作的职责定位，全力狠抓政务公开质量和成效，切实以高水平政务公开服务高质量经济社会发展。</w:t>
      </w:r>
    </w:p>
    <w:p w14:paraId="0502601E">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eastAsia" w:ascii="Times New Roman" w:hAnsi="Times New Roman" w:eastAsia="楷体_GB2312" w:cs="楷体_GB2312"/>
          <w:b w:val="0"/>
          <w:bCs/>
          <w:color w:val="auto"/>
          <w:kern w:val="2"/>
          <w:sz w:val="32"/>
          <w:szCs w:val="32"/>
          <w:lang w:val="en-US" w:eastAsia="zh-CN" w:bidi="ar-SA"/>
        </w:rPr>
        <w:t>（一）主动公开。</w:t>
      </w:r>
      <w:r>
        <w:rPr>
          <w:rFonts w:hint="eastAsia" w:ascii="Times New Roman" w:hAnsi="Times New Roman" w:eastAsia="仿宋_GB2312" w:cs="Times New Roman"/>
          <w:b w:val="0"/>
          <w:bCs/>
          <w:color w:val="auto"/>
          <w:sz w:val="32"/>
          <w:szCs w:val="32"/>
          <w:lang w:val="en-US" w:eastAsia="zh-CN"/>
        </w:rPr>
        <w:t>2025年</w:t>
      </w:r>
      <w:r>
        <w:rPr>
          <w:rFonts w:hint="default" w:ascii="Times New Roman" w:hAnsi="Times New Roman" w:eastAsia="仿宋_GB2312" w:cs="Times New Roman"/>
          <w:b w:val="0"/>
          <w:bCs/>
          <w:color w:val="auto"/>
          <w:sz w:val="32"/>
          <w:szCs w:val="32"/>
          <w:lang w:val="en-US" w:eastAsia="zh-CN"/>
        </w:rPr>
        <w:t>，依托</w:t>
      </w:r>
      <w:r>
        <w:rPr>
          <w:rFonts w:hint="eastAsia" w:ascii="Times New Roman" w:hAnsi="Times New Roman" w:eastAsia="仿宋_GB2312" w:cs="Times New Roman"/>
          <w:b w:val="0"/>
          <w:bCs/>
          <w:color w:val="auto"/>
          <w:sz w:val="32"/>
          <w:szCs w:val="32"/>
          <w:lang w:val="en-US" w:eastAsia="zh-CN"/>
        </w:rPr>
        <w:t>管委</w:t>
      </w:r>
      <w:r>
        <w:rPr>
          <w:rFonts w:hint="default" w:ascii="Times New Roman" w:hAnsi="Times New Roman" w:eastAsia="仿宋_GB2312" w:cs="Times New Roman"/>
          <w:b w:val="0"/>
          <w:bCs/>
          <w:color w:val="auto"/>
          <w:sz w:val="32"/>
          <w:szCs w:val="32"/>
          <w:lang w:val="en-US" w:eastAsia="zh-CN"/>
        </w:rPr>
        <w:t>门户网站政务公开栏目，主动发布各类信息</w:t>
      </w:r>
      <w:r>
        <w:rPr>
          <w:rFonts w:hint="eastAsia" w:ascii="Times New Roman" w:hAnsi="Times New Roman" w:eastAsia="仿宋_GB2312" w:cs="Times New Roman"/>
          <w:b w:val="0"/>
          <w:bCs/>
          <w:color w:val="auto"/>
          <w:sz w:val="32"/>
          <w:szCs w:val="32"/>
          <w:lang w:val="en-US" w:eastAsia="zh-CN"/>
        </w:rPr>
        <w:t>。在“镇级动态”方面，</w:t>
      </w:r>
      <w:r>
        <w:rPr>
          <w:rFonts w:hint="default" w:ascii="Times New Roman" w:hAnsi="Times New Roman" w:eastAsia="仿宋_GB2312" w:cs="Times New Roman"/>
          <w:b w:val="0"/>
          <w:bCs/>
          <w:color w:val="auto"/>
          <w:sz w:val="32"/>
          <w:szCs w:val="32"/>
          <w:lang w:val="en-US" w:eastAsia="zh-CN"/>
        </w:rPr>
        <w:t>聚焦</w:t>
      </w:r>
      <w:r>
        <w:rPr>
          <w:rFonts w:hint="eastAsia" w:ascii="Times New Roman" w:hAnsi="Times New Roman" w:eastAsia="仿宋_GB2312" w:cs="Times New Roman"/>
          <w:b w:val="0"/>
          <w:bCs/>
          <w:color w:val="auto"/>
          <w:sz w:val="32"/>
          <w:szCs w:val="32"/>
          <w:lang w:val="en-US" w:eastAsia="zh-CN"/>
        </w:rPr>
        <w:t>乡村振兴、基层治理</w:t>
      </w:r>
      <w:r>
        <w:rPr>
          <w:rFonts w:hint="default" w:ascii="Times New Roman" w:hAnsi="Times New Roman" w:eastAsia="仿宋_GB2312" w:cs="Times New Roman"/>
          <w:b w:val="0"/>
          <w:bCs/>
          <w:color w:val="auto"/>
          <w:sz w:val="32"/>
          <w:szCs w:val="32"/>
          <w:lang w:val="en-US" w:eastAsia="zh-CN"/>
        </w:rPr>
        <w:t>等重点热点领域，</w:t>
      </w:r>
      <w:r>
        <w:rPr>
          <w:rFonts w:hint="eastAsia" w:ascii="Times New Roman" w:hAnsi="Times New Roman" w:eastAsia="仿宋_GB2312" w:cs="Times New Roman"/>
          <w:b w:val="0"/>
          <w:bCs/>
          <w:color w:val="auto"/>
          <w:sz w:val="32"/>
          <w:szCs w:val="32"/>
          <w:lang w:val="en-US" w:eastAsia="zh-CN"/>
        </w:rPr>
        <w:t>发布信息48条；在“临港开讲”“法治政府建设情况报告”等专题专栏中，发布9篇相关文章；</w:t>
      </w:r>
      <w:r>
        <w:rPr>
          <w:rFonts w:hint="default" w:ascii="Times New Roman" w:hAnsi="Times New Roman" w:eastAsia="仿宋_GB2312" w:cs="Times New Roman"/>
          <w:b w:val="0"/>
          <w:bCs/>
          <w:color w:val="auto"/>
          <w:sz w:val="32"/>
          <w:szCs w:val="32"/>
          <w:lang w:val="en-US" w:eastAsia="zh-CN"/>
        </w:rPr>
        <w:t>在</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重点领域信息</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方面，及时公布</w:t>
      </w:r>
      <w:r>
        <w:rPr>
          <w:rFonts w:hint="eastAsia" w:ascii="Times New Roman" w:hAnsi="Times New Roman" w:eastAsia="仿宋_GB2312" w:cs="Times New Roman"/>
          <w:b w:val="0"/>
          <w:bCs/>
          <w:color w:val="auto"/>
          <w:sz w:val="32"/>
          <w:szCs w:val="32"/>
          <w:lang w:val="en-US" w:eastAsia="zh-CN"/>
        </w:rPr>
        <w:t>2024年度政府本级以及部门</w:t>
      </w:r>
      <w:r>
        <w:rPr>
          <w:rFonts w:hint="default" w:ascii="Times New Roman" w:hAnsi="Times New Roman" w:eastAsia="仿宋_GB2312" w:cs="Times New Roman"/>
          <w:b w:val="0"/>
          <w:bCs/>
          <w:color w:val="auto"/>
          <w:sz w:val="32"/>
          <w:szCs w:val="32"/>
          <w:lang w:val="en-US" w:eastAsia="zh-CN"/>
        </w:rPr>
        <w:t>财政决算</w:t>
      </w:r>
      <w:r>
        <w:rPr>
          <w:rFonts w:hint="eastAsia" w:ascii="Times New Roman" w:hAnsi="Times New Roman" w:eastAsia="仿宋_GB2312" w:cs="Times New Roman"/>
          <w:b w:val="0"/>
          <w:bCs/>
          <w:color w:val="auto"/>
          <w:sz w:val="32"/>
          <w:szCs w:val="32"/>
          <w:lang w:val="en-US" w:eastAsia="zh-CN"/>
        </w:rPr>
        <w:t>和2025年政府财政预算；在</w:t>
      </w:r>
      <w:r>
        <w:rPr>
          <w:rFonts w:hint="default" w:ascii="Times New Roman" w:hAnsi="Times New Roman" w:eastAsia="仿宋_GB2312" w:cs="Times New Roman"/>
          <w:b w:val="0"/>
          <w:bCs/>
          <w:color w:val="auto"/>
          <w:sz w:val="32"/>
          <w:szCs w:val="32"/>
          <w:lang w:val="en-US" w:eastAsia="zh-CN"/>
        </w:rPr>
        <w:t>“业务工作”板块</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发布</w:t>
      </w:r>
      <w:r>
        <w:rPr>
          <w:rFonts w:hint="eastAsia" w:ascii="Times New Roman" w:hAnsi="Times New Roman" w:eastAsia="仿宋_GB2312" w:cs="Times New Roman"/>
          <w:b w:val="0"/>
          <w:bCs/>
          <w:color w:val="auto"/>
          <w:sz w:val="32"/>
          <w:szCs w:val="32"/>
          <w:lang w:val="en-US" w:eastAsia="zh-CN"/>
        </w:rPr>
        <w:t>6</w:t>
      </w:r>
      <w:r>
        <w:rPr>
          <w:rFonts w:hint="default" w:ascii="Times New Roman" w:hAnsi="Times New Roman" w:eastAsia="仿宋_GB2312" w:cs="Times New Roman"/>
          <w:b w:val="0"/>
          <w:bCs/>
          <w:color w:val="auto"/>
          <w:sz w:val="32"/>
          <w:szCs w:val="32"/>
          <w:lang w:val="en-US" w:eastAsia="zh-CN"/>
        </w:rPr>
        <w:t>篇</w:t>
      </w:r>
      <w:r>
        <w:rPr>
          <w:rFonts w:hint="eastAsia" w:ascii="Times New Roman" w:hAnsi="Times New Roman" w:eastAsia="仿宋_GB2312" w:cs="Times New Roman"/>
          <w:b w:val="0"/>
          <w:bCs/>
          <w:color w:val="auto"/>
          <w:sz w:val="32"/>
          <w:szCs w:val="32"/>
          <w:lang w:val="en-US" w:eastAsia="zh-CN"/>
        </w:rPr>
        <w:t>公示信息</w:t>
      </w:r>
      <w:r>
        <w:rPr>
          <w:rFonts w:hint="default" w:ascii="Times New Roman" w:hAnsi="Times New Roman" w:eastAsia="仿宋_GB2312" w:cs="Times New Roman"/>
          <w:b w:val="0"/>
          <w:bCs/>
          <w:color w:val="auto"/>
          <w:sz w:val="32"/>
          <w:szCs w:val="32"/>
          <w:lang w:val="en-US" w:eastAsia="zh-CN"/>
        </w:rPr>
        <w:t>，为广大公众提供了较好的政府信息公开服务。</w:t>
      </w:r>
      <w:bookmarkStart w:id="10" w:name="_GoBack"/>
      <w:bookmarkEnd w:id="10"/>
    </w:p>
    <w:p w14:paraId="3774122A">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楷体_GB2312" w:cs="楷体_GB2312"/>
          <w:b w:val="0"/>
          <w:bCs/>
          <w:color w:val="auto"/>
          <w:kern w:val="2"/>
          <w:sz w:val="32"/>
          <w:szCs w:val="32"/>
          <w:lang w:val="en-US" w:eastAsia="zh-CN" w:bidi="ar-SA"/>
        </w:rPr>
        <w:t>（二）依申请公开。</w:t>
      </w:r>
      <w:r>
        <w:rPr>
          <w:rFonts w:hint="eastAsia" w:ascii="Times New Roman" w:hAnsi="Times New Roman" w:eastAsia="仿宋_GB2312" w:cs="Times New Roman"/>
          <w:b w:val="0"/>
          <w:bCs/>
          <w:color w:val="auto"/>
          <w:kern w:val="2"/>
          <w:sz w:val="32"/>
          <w:szCs w:val="32"/>
          <w:lang w:val="en-US" w:eastAsia="zh-CN" w:bidi="ar-SA"/>
        </w:rPr>
        <w:t>明确信息公开工作职责，定期安排专人查看系统，对相关申请及时处理，确保政务信息公开工作取得实效。本年度收到1件政府信息公开申请，全年受理公民依申请公开1件，</w:t>
      </w:r>
      <w:r>
        <w:rPr>
          <w:rFonts w:hint="default" w:ascii="Times New Roman" w:hAnsi="Times New Roman" w:eastAsia="仿宋_GB2312" w:cs="Times New Roman"/>
          <w:b w:val="0"/>
          <w:bCs/>
          <w:color w:val="auto"/>
          <w:kern w:val="2"/>
          <w:sz w:val="32"/>
          <w:szCs w:val="32"/>
          <w:lang w:val="en-US" w:eastAsia="zh-CN" w:bidi="ar-SA"/>
        </w:rPr>
        <w:t>结转下年度办理0件</w:t>
      </w:r>
      <w:r>
        <w:rPr>
          <w:rFonts w:hint="eastAsia" w:ascii="Times New Roman" w:hAnsi="Times New Roman" w:eastAsia="仿宋_GB2312" w:cs="Times New Roman"/>
          <w:b w:val="0"/>
          <w:bCs/>
          <w:color w:val="auto"/>
          <w:kern w:val="2"/>
          <w:sz w:val="32"/>
          <w:szCs w:val="32"/>
          <w:lang w:val="en-US" w:eastAsia="zh-CN" w:bidi="ar-SA"/>
        </w:rPr>
        <w:t>。</w:t>
      </w:r>
    </w:p>
    <w:p w14:paraId="09ABDF9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楷体_GB2312" w:cs="楷体_GB2312"/>
          <w:b w:val="0"/>
          <w:bCs/>
          <w:color w:val="auto"/>
          <w:kern w:val="2"/>
          <w:sz w:val="32"/>
          <w:szCs w:val="32"/>
          <w:lang w:val="en-US" w:eastAsia="zh-CN" w:bidi="ar-SA"/>
        </w:rPr>
        <w:t>（三）政府信息管理。</w:t>
      </w:r>
      <w:r>
        <w:rPr>
          <w:rFonts w:hint="eastAsia" w:ascii="Times New Roman" w:hAnsi="Times New Roman" w:eastAsia="仿宋_GB2312" w:cs="Times New Roman"/>
          <w:b w:val="0"/>
          <w:bCs/>
          <w:color w:val="auto"/>
          <w:kern w:val="2"/>
          <w:sz w:val="32"/>
          <w:szCs w:val="32"/>
          <w:lang w:val="en-US" w:eastAsia="zh-CN" w:bidi="ar-SA"/>
        </w:rPr>
        <w:t>草庙子镇持续强化政务公开信息平台的规范化建设与运行维护。一是强化运营维护效能，完善内容更新长效机制，定期对栏目信息进行审核，切实提升信息公开的时效性和质量。二是高标准落实错敏字整改工作责任，常态化开展历史发布稿件的错敏信息专项排查，建立“排查、整改、反馈、复查”闭环管理流程，严格按照规定时限与质量要求完成整改任务，始终保持规范、优质的运行状态。</w:t>
      </w:r>
    </w:p>
    <w:p w14:paraId="132E762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楷体_GB2312" w:cs="楷体_GB2312"/>
          <w:b w:val="0"/>
          <w:bCs/>
          <w:color w:val="auto"/>
          <w:kern w:val="2"/>
          <w:sz w:val="32"/>
          <w:szCs w:val="32"/>
          <w:lang w:val="en-US" w:eastAsia="zh-CN" w:bidi="ar-SA"/>
        </w:rPr>
        <w:t>（四）政府信息公开平台建设。</w:t>
      </w:r>
      <w:r>
        <w:rPr>
          <w:rFonts w:hint="eastAsia" w:ascii="Times New Roman" w:hAnsi="Times New Roman" w:eastAsia="仿宋_GB2312" w:cs="Times New Roman"/>
          <w:b w:val="0"/>
          <w:bCs/>
          <w:color w:val="auto"/>
          <w:kern w:val="2"/>
          <w:sz w:val="32"/>
          <w:szCs w:val="32"/>
          <w:lang w:val="en-US" w:eastAsia="zh-CN" w:bidi="ar-SA"/>
        </w:rPr>
        <w:t>本年度依托政府网站发布公开政务信息，保障群众知情权。共发布“镇级动态”48篇，其中“威海公开行”6篇，同时发挥好草庙子镇政务新媒体的作用，一年来，共通过政务新媒体发布信息700余篇，“今日草庙子”订阅数为4994；“文旅草庙子”订阅数为383，共同发力，更新各类政务信息。</w:t>
      </w:r>
    </w:p>
    <w:p w14:paraId="64FC76DD">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楷体_GB2312" w:cs="楷体_GB2312"/>
          <w:b w:val="0"/>
          <w:bCs/>
          <w:color w:val="auto"/>
          <w:kern w:val="2"/>
          <w:sz w:val="32"/>
          <w:szCs w:val="32"/>
          <w:lang w:val="en-US" w:eastAsia="zh-CN" w:bidi="ar-SA"/>
        </w:rPr>
        <w:t>（五）监督保障。</w:t>
      </w:r>
      <w:r>
        <w:rPr>
          <w:rFonts w:hint="eastAsia" w:ascii="Times New Roman" w:hAnsi="Times New Roman" w:eastAsia="仿宋_GB2312" w:cs="Times New Roman"/>
          <w:b w:val="0"/>
          <w:bCs/>
          <w:color w:val="auto"/>
          <w:kern w:val="2"/>
          <w:sz w:val="32"/>
          <w:szCs w:val="32"/>
          <w:lang w:val="en-US" w:eastAsia="zh-CN" w:bidi="ar-SA"/>
        </w:rPr>
        <w:t>一是进一步健全政务公开常态化督导体系，把政府信息公开制度完善、主动公开工作开展、依申请公开等工作的落实成效，纳入我镇重点工作统筹推进。二是立足工作实际，推动政务公开与保密工作深度融合，组织相关专题培训会议，强化工作人员保密责任意识与政务公开履职能力。</w:t>
      </w:r>
    </w:p>
    <w:p w14:paraId="73F009F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333333"/>
          <w:spacing w:val="0"/>
          <w:sz w:val="32"/>
          <w:szCs w:val="32"/>
          <w:shd w:val="clear" w:fill="FFFFFF"/>
        </w:rPr>
      </w:pPr>
      <w:r>
        <w:rPr>
          <w:rFonts w:hint="eastAsia" w:ascii="Times New Roman" w:hAnsi="Times New Roman" w:eastAsia="黑体" w:cs="黑体"/>
          <w:b w:val="0"/>
          <w:bCs/>
          <w:i w:val="0"/>
          <w:caps w:val="0"/>
          <w:color w:val="333333"/>
          <w:spacing w:val="0"/>
          <w:sz w:val="32"/>
          <w:szCs w:val="32"/>
          <w:shd w:val="clear" w:fill="FFFFFF"/>
        </w:rPr>
        <w:t>二、主动公开政府信息情况</w:t>
      </w:r>
    </w:p>
    <w:tbl>
      <w:tblPr>
        <w:tblStyle w:val="5"/>
        <w:tblW w:w="8824" w:type="dxa"/>
        <w:tblInd w:w="0" w:type="dxa"/>
        <w:tblLayout w:type="fixed"/>
        <w:tblCellMar>
          <w:top w:w="0" w:type="dxa"/>
          <w:left w:w="108" w:type="dxa"/>
          <w:bottom w:w="0" w:type="dxa"/>
          <w:right w:w="108" w:type="dxa"/>
        </w:tblCellMar>
      </w:tblPr>
      <w:tblGrid>
        <w:gridCol w:w="2206"/>
        <w:gridCol w:w="2206"/>
        <w:gridCol w:w="2206"/>
        <w:gridCol w:w="2206"/>
      </w:tblGrid>
      <w:tr w14:paraId="15502606">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BF2AB1F">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14:paraId="0FB314F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059F250">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510EA816">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1B13BE48">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6D4132EB">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14:paraId="51831B42">
        <w:tblPrEx>
          <w:tblCellMar>
            <w:top w:w="0" w:type="dxa"/>
            <w:left w:w="108" w:type="dxa"/>
            <w:bottom w:w="0" w:type="dxa"/>
            <w:right w:w="108" w:type="dxa"/>
          </w:tblCellMar>
        </w:tblPrEx>
        <w:trPr>
          <w:trHeight w:val="461"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49589B5">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644674A4">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2D238F14">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65B20CE1">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17F29ABF">
        <w:tblPrEx>
          <w:tblCellMar>
            <w:top w:w="0" w:type="dxa"/>
            <w:left w:w="108" w:type="dxa"/>
            <w:bottom w:w="0" w:type="dxa"/>
            <w:right w:w="108" w:type="dxa"/>
          </w:tblCellMar>
        </w:tblPrEx>
        <w:trPr>
          <w:trHeight w:val="44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1A244E5">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62F267B4">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58982B1B">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70F825E9">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1DEF8979">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45910D5">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第二十条第（五）项</w:t>
            </w:r>
          </w:p>
        </w:tc>
      </w:tr>
      <w:tr w14:paraId="46251D5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11FB61FC">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242D743">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5C062097">
        <w:tblPrEx>
          <w:tblCellMar>
            <w:top w:w="0" w:type="dxa"/>
            <w:left w:w="108" w:type="dxa"/>
            <w:bottom w:w="0" w:type="dxa"/>
            <w:right w:w="108" w:type="dxa"/>
          </w:tblCellMar>
        </w:tblPrEx>
        <w:trPr>
          <w:trHeight w:val="461"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CCE7A6E">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42B9B49">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467BCA54">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08A32EF">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第二十条第（六）项</w:t>
            </w:r>
          </w:p>
        </w:tc>
      </w:tr>
      <w:tr w14:paraId="6BA2B585">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DBE424B">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61E3AD1">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35DE73A6">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F77AAFC">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DB2639A">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38E0096D">
        <w:tblPrEx>
          <w:tblCellMar>
            <w:top w:w="0" w:type="dxa"/>
            <w:left w:w="108" w:type="dxa"/>
            <w:bottom w:w="0" w:type="dxa"/>
            <w:right w:w="108" w:type="dxa"/>
          </w:tblCellMar>
        </w:tblPrEx>
        <w:trPr>
          <w:trHeight w:val="435"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2E2F355">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B89A52C">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0FD3A7F7">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6A569763">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第二十条第（八）项</w:t>
            </w:r>
          </w:p>
        </w:tc>
      </w:tr>
      <w:tr w14:paraId="079B463C">
        <w:tblPrEx>
          <w:tblCellMar>
            <w:top w:w="0" w:type="dxa"/>
            <w:left w:w="108" w:type="dxa"/>
            <w:bottom w:w="0" w:type="dxa"/>
            <w:right w:w="108" w:type="dxa"/>
          </w:tblCellMar>
        </w:tblPrEx>
        <w:trPr>
          <w:trHeight w:val="567" w:hRule="atLeast"/>
        </w:trPr>
        <w:tc>
          <w:tcPr>
            <w:tcW w:w="2206" w:type="dxa"/>
            <w:tcBorders>
              <w:top w:val="single" w:color="auto" w:sz="8" w:space="0"/>
              <w:left w:val="single" w:color="auto" w:sz="8" w:space="0"/>
              <w:bottom w:val="single" w:color="auto" w:sz="8" w:space="0"/>
              <w:right w:val="single" w:color="auto" w:sz="8" w:space="0"/>
            </w:tcBorders>
            <w:shd w:val="clear" w:color="auto" w:fill="auto"/>
            <w:vAlign w:val="center"/>
          </w:tcPr>
          <w:p w14:paraId="23C3FDB9">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single" w:color="auto" w:sz="8" w:space="0"/>
              <w:bottom w:val="single" w:color="auto" w:sz="8" w:space="0"/>
              <w:right w:val="single" w:color="000000" w:sz="8" w:space="0"/>
            </w:tcBorders>
            <w:shd w:val="clear" w:color="auto" w:fill="auto"/>
            <w:vAlign w:val="center"/>
          </w:tcPr>
          <w:p w14:paraId="62F02DC9">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14:paraId="208A2C7E">
        <w:tblPrEx>
          <w:tblCellMar>
            <w:top w:w="0" w:type="dxa"/>
            <w:left w:w="108" w:type="dxa"/>
            <w:bottom w:w="0" w:type="dxa"/>
            <w:right w:w="108" w:type="dxa"/>
          </w:tblCellMar>
        </w:tblPrEx>
        <w:trPr>
          <w:trHeight w:val="567" w:hRule="atLeast"/>
        </w:trPr>
        <w:tc>
          <w:tcPr>
            <w:tcW w:w="2206" w:type="dxa"/>
            <w:tcBorders>
              <w:top w:val="single" w:color="auto" w:sz="8" w:space="0"/>
              <w:left w:val="single" w:color="auto" w:sz="8" w:space="0"/>
              <w:bottom w:val="single" w:color="auto" w:sz="8" w:space="0"/>
              <w:right w:val="single" w:color="auto" w:sz="8" w:space="0"/>
            </w:tcBorders>
            <w:shd w:val="clear" w:color="auto" w:fill="auto"/>
            <w:vAlign w:val="center"/>
          </w:tcPr>
          <w:p w14:paraId="673AB8D5">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single" w:color="auto" w:sz="8" w:space="0"/>
              <w:bottom w:val="single" w:color="auto" w:sz="8" w:space="0"/>
              <w:right w:val="single" w:color="000000" w:sz="8" w:space="0"/>
            </w:tcBorders>
            <w:shd w:val="clear" w:color="auto" w:fill="auto"/>
            <w:vAlign w:val="center"/>
          </w:tcPr>
          <w:p w14:paraId="28F2488B">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auto"/>
                <w:kern w:val="0"/>
                <w:szCs w:val="21"/>
                <w:lang w:val="en-US" w:eastAsia="zh-CN"/>
              </w:rPr>
              <w:t>0</w:t>
            </w:r>
          </w:p>
        </w:tc>
      </w:tr>
    </w:tbl>
    <w:p w14:paraId="45FD3784">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p>
    <w:p w14:paraId="653B29BD">
      <w:pPr>
        <w:keepNext w:val="0"/>
        <w:keepLines w:val="0"/>
        <w:pageBreakBefore w:val="0"/>
        <w:widowControl w:val="0"/>
        <w:numPr>
          <w:ilvl w:val="0"/>
          <w:numId w:val="0"/>
        </w:numPr>
        <w:kinsoku/>
        <w:wordWrap/>
        <w:overflowPunct/>
        <w:topLinePunct w:val="0"/>
        <w:bidi w:val="0"/>
        <w:snapToGrid/>
        <w:spacing w:line="560" w:lineRule="exact"/>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p>
    <w:p w14:paraId="70BF27EF">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黑体"/>
          <w:b w:val="0"/>
          <w:bCs/>
          <w:i w:val="0"/>
          <w:caps w:val="0"/>
          <w:color w:val="333333"/>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三、收</w:t>
      </w:r>
      <w:r>
        <w:rPr>
          <w:rFonts w:hint="eastAsia" w:ascii="Times New Roman" w:hAnsi="Times New Roman" w:eastAsia="黑体" w:cs="黑体"/>
          <w:b w:val="0"/>
          <w:bCs/>
          <w:i w:val="0"/>
          <w:caps w:val="0"/>
          <w:color w:val="333333"/>
          <w:spacing w:val="0"/>
          <w:kern w:val="0"/>
          <w:sz w:val="32"/>
          <w:szCs w:val="32"/>
          <w:shd w:val="clear" w:fill="FFFFFF"/>
          <w:lang w:val="en-US" w:eastAsia="zh-CN" w:bidi="ar"/>
        </w:rPr>
        <w:t>到和处理政府信息公开申请情况</w:t>
      </w:r>
    </w:p>
    <w:tbl>
      <w:tblPr>
        <w:tblStyle w:val="5"/>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14:paraId="174C5B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34840549">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Times New Roman" w:hAnsi="Times New Roman" w:eastAsia="楷体_GB2312" w:cs="Times New Roman"/>
                <w:kern w:val="0"/>
                <w:szCs w:val="21"/>
              </w:rPr>
            </w:pPr>
            <w:r>
              <w:rPr>
                <w:rFonts w:hint="default" w:ascii="Times New Roman" w:hAnsi="Times New Roman" w:eastAsia="楷体_GB2312" w:cs="Times New Roman"/>
                <w:kern w:val="0"/>
                <w:szCs w:val="21"/>
              </w:rPr>
              <w:t>（本列数据的勾稽关系为：第一项加第二项之和，</w:t>
            </w:r>
          </w:p>
          <w:p w14:paraId="3E95B356">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Times New Roman"/>
                <w:szCs w:val="21"/>
              </w:rPr>
            </w:pPr>
            <w:r>
              <w:rPr>
                <w:rFonts w:hint="default" w:ascii="Times New Roman" w:hAnsi="Times New Roman" w:eastAsia="楷体_GB2312" w:cs="Times New Roman"/>
                <w:kern w:val="0"/>
                <w:szCs w:val="21"/>
              </w:rPr>
              <w:t>等于第三项加第四项之和）</w:t>
            </w:r>
          </w:p>
        </w:tc>
        <w:tc>
          <w:tcPr>
            <w:tcW w:w="4448" w:type="dxa"/>
            <w:gridSpan w:val="20"/>
            <w:shd w:val="clear" w:color="auto" w:fill="auto"/>
            <w:tcMar>
              <w:left w:w="108" w:type="dxa"/>
              <w:right w:w="108" w:type="dxa"/>
            </w:tcMar>
            <w:vAlign w:val="center"/>
          </w:tcPr>
          <w:p w14:paraId="27D1ED23">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申请人情况</w:t>
            </w:r>
          </w:p>
        </w:tc>
      </w:tr>
      <w:tr w14:paraId="3C14FF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1AC59A9A">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Times New Roman"/>
                <w:szCs w:val="21"/>
              </w:rPr>
            </w:pPr>
          </w:p>
        </w:tc>
        <w:tc>
          <w:tcPr>
            <w:tcW w:w="747" w:type="dxa"/>
            <w:vMerge w:val="restart"/>
            <w:shd w:val="clear" w:color="auto" w:fill="auto"/>
            <w:tcMar>
              <w:left w:w="108" w:type="dxa"/>
              <w:right w:w="108" w:type="dxa"/>
            </w:tcMar>
            <w:vAlign w:val="center"/>
          </w:tcPr>
          <w:p w14:paraId="0991BE31">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自然人</w:t>
            </w:r>
          </w:p>
        </w:tc>
        <w:tc>
          <w:tcPr>
            <w:tcW w:w="3000" w:type="dxa"/>
            <w:gridSpan w:val="17"/>
            <w:shd w:val="clear" w:color="auto" w:fill="auto"/>
            <w:tcMar>
              <w:left w:w="108" w:type="dxa"/>
              <w:right w:w="108" w:type="dxa"/>
            </w:tcMar>
            <w:vAlign w:val="center"/>
          </w:tcPr>
          <w:p w14:paraId="0C6D78EB">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法人或其他组织</w:t>
            </w:r>
          </w:p>
        </w:tc>
        <w:tc>
          <w:tcPr>
            <w:tcW w:w="701" w:type="dxa"/>
            <w:gridSpan w:val="2"/>
            <w:vMerge w:val="restart"/>
            <w:shd w:val="clear" w:color="auto" w:fill="auto"/>
            <w:tcMar>
              <w:left w:w="108" w:type="dxa"/>
              <w:right w:w="108" w:type="dxa"/>
            </w:tcMar>
            <w:vAlign w:val="center"/>
          </w:tcPr>
          <w:p w14:paraId="00A6AA0A">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总计</w:t>
            </w:r>
          </w:p>
        </w:tc>
      </w:tr>
      <w:tr w14:paraId="55E63B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65AEEC50">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Times New Roman"/>
                <w:szCs w:val="21"/>
              </w:rPr>
            </w:pPr>
          </w:p>
        </w:tc>
        <w:tc>
          <w:tcPr>
            <w:tcW w:w="747" w:type="dxa"/>
            <w:vMerge w:val="continue"/>
            <w:shd w:val="clear" w:color="auto" w:fill="auto"/>
            <w:tcMar>
              <w:left w:w="108" w:type="dxa"/>
              <w:right w:w="108" w:type="dxa"/>
            </w:tcMar>
            <w:vAlign w:val="center"/>
          </w:tcPr>
          <w:p w14:paraId="26A819A2">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Times New Roman" w:hAnsi="Times New Roman" w:eastAsia="黑体" w:cs="Times New Roman"/>
                <w:szCs w:val="21"/>
              </w:rPr>
            </w:pPr>
          </w:p>
        </w:tc>
        <w:tc>
          <w:tcPr>
            <w:tcW w:w="540" w:type="dxa"/>
            <w:gridSpan w:val="7"/>
            <w:shd w:val="clear" w:color="auto" w:fill="auto"/>
            <w:tcMar>
              <w:left w:w="108" w:type="dxa"/>
              <w:right w:w="108" w:type="dxa"/>
            </w:tcMar>
            <w:vAlign w:val="center"/>
          </w:tcPr>
          <w:p w14:paraId="18C7EE13">
            <w:pPr>
              <w:keepNext w:val="0"/>
              <w:keepLines w:val="0"/>
              <w:pageBreakBefore w:val="0"/>
              <w:widowControl/>
              <w:kinsoku/>
              <w:wordWrap/>
              <w:overflowPunct/>
              <w:topLinePunct w:val="0"/>
              <w:autoSpaceDE/>
              <w:autoSpaceDN/>
              <w:bidi w:val="0"/>
              <w:adjustRightInd/>
              <w:snapToGrid/>
              <w:spacing w:line="260" w:lineRule="exact"/>
              <w:ind w:left="-106" w:leftChars="-51" w:right="-107" w:rightChars="-51" w:hanging="1"/>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商业企业</w:t>
            </w:r>
          </w:p>
        </w:tc>
        <w:tc>
          <w:tcPr>
            <w:tcW w:w="540" w:type="dxa"/>
            <w:gridSpan w:val="7"/>
            <w:shd w:val="clear" w:color="auto" w:fill="auto"/>
            <w:tcMar>
              <w:left w:w="108" w:type="dxa"/>
              <w:right w:w="108" w:type="dxa"/>
            </w:tcMar>
            <w:vAlign w:val="center"/>
          </w:tcPr>
          <w:p w14:paraId="6A6B9413">
            <w:pPr>
              <w:keepNext w:val="0"/>
              <w:keepLines w:val="0"/>
              <w:pageBreakBefore w:val="0"/>
              <w:widowControl/>
              <w:kinsoku/>
              <w:wordWrap/>
              <w:overflowPunct/>
              <w:topLinePunct w:val="0"/>
              <w:autoSpaceDE/>
              <w:autoSpaceDN/>
              <w:bidi w:val="0"/>
              <w:adjustRightInd/>
              <w:snapToGrid/>
              <w:spacing w:line="260" w:lineRule="exact"/>
              <w:ind w:left="-107" w:leftChars="-51" w:right="-107" w:rightChars="-51"/>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科研机构</w:t>
            </w:r>
          </w:p>
        </w:tc>
        <w:tc>
          <w:tcPr>
            <w:tcW w:w="720" w:type="dxa"/>
            <w:shd w:val="clear" w:color="auto" w:fill="auto"/>
            <w:tcMar>
              <w:left w:w="108" w:type="dxa"/>
              <w:right w:w="108" w:type="dxa"/>
            </w:tcMar>
            <w:vAlign w:val="center"/>
          </w:tcPr>
          <w:p w14:paraId="15EB594E">
            <w:pPr>
              <w:keepNext w:val="0"/>
              <w:keepLines w:val="0"/>
              <w:pageBreakBefore w:val="0"/>
              <w:widowControl/>
              <w:kinsoku/>
              <w:wordWrap/>
              <w:overflowPunct/>
              <w:topLinePunct w:val="0"/>
              <w:autoSpaceDE/>
              <w:autoSpaceDN/>
              <w:bidi w:val="0"/>
              <w:adjustRightInd/>
              <w:snapToGrid/>
              <w:spacing w:line="260" w:lineRule="exact"/>
              <w:ind w:left="-107" w:leftChars="-51" w:right="-107" w:rightChars="-51"/>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社会公益组织</w:t>
            </w:r>
          </w:p>
        </w:tc>
        <w:tc>
          <w:tcPr>
            <w:tcW w:w="675" w:type="dxa"/>
            <w:shd w:val="clear" w:color="auto" w:fill="auto"/>
            <w:tcMar>
              <w:left w:w="108" w:type="dxa"/>
              <w:right w:w="108" w:type="dxa"/>
            </w:tcMar>
            <w:vAlign w:val="center"/>
          </w:tcPr>
          <w:p w14:paraId="572A32FD">
            <w:pPr>
              <w:keepNext w:val="0"/>
              <w:keepLines w:val="0"/>
              <w:pageBreakBefore w:val="0"/>
              <w:widowControl/>
              <w:kinsoku/>
              <w:wordWrap/>
              <w:overflowPunct/>
              <w:topLinePunct w:val="0"/>
              <w:autoSpaceDE/>
              <w:autoSpaceDN/>
              <w:bidi w:val="0"/>
              <w:adjustRightInd/>
              <w:snapToGrid/>
              <w:spacing w:line="260" w:lineRule="exact"/>
              <w:ind w:left="-106" w:leftChars="-51" w:right="-107" w:rightChars="-51" w:hanging="1"/>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法律服务机构</w:t>
            </w:r>
          </w:p>
        </w:tc>
        <w:tc>
          <w:tcPr>
            <w:tcW w:w="525" w:type="dxa"/>
            <w:shd w:val="clear" w:color="auto" w:fill="auto"/>
            <w:tcMar>
              <w:left w:w="108" w:type="dxa"/>
              <w:right w:w="108" w:type="dxa"/>
            </w:tcMar>
            <w:vAlign w:val="center"/>
          </w:tcPr>
          <w:p w14:paraId="7255CDB2">
            <w:pPr>
              <w:keepNext w:val="0"/>
              <w:keepLines w:val="0"/>
              <w:pageBreakBefore w:val="0"/>
              <w:widowControl/>
              <w:kinsoku/>
              <w:wordWrap/>
              <w:overflowPunct/>
              <w:topLinePunct w:val="0"/>
              <w:autoSpaceDE/>
              <w:autoSpaceDN/>
              <w:bidi w:val="0"/>
              <w:adjustRightInd/>
              <w:snapToGrid/>
              <w:spacing w:line="260" w:lineRule="exact"/>
              <w:ind w:left="-63" w:leftChars="-30" w:right="-134" w:rightChars="-64"/>
              <w:jc w:val="center"/>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其他</w:t>
            </w:r>
          </w:p>
        </w:tc>
        <w:tc>
          <w:tcPr>
            <w:tcW w:w="701" w:type="dxa"/>
            <w:gridSpan w:val="2"/>
            <w:vMerge w:val="continue"/>
            <w:shd w:val="clear" w:color="auto" w:fill="auto"/>
            <w:tcMar>
              <w:left w:w="108" w:type="dxa"/>
              <w:right w:w="108" w:type="dxa"/>
            </w:tcMar>
            <w:vAlign w:val="center"/>
          </w:tcPr>
          <w:p w14:paraId="78FDF7A3">
            <w:pPr>
              <w:keepNext w:val="0"/>
              <w:keepLines w:val="0"/>
              <w:pageBreakBefore w:val="0"/>
              <w:widowControl/>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Times New Roman"/>
                <w:szCs w:val="21"/>
              </w:rPr>
            </w:pPr>
          </w:p>
        </w:tc>
      </w:tr>
      <w:tr w14:paraId="3523CD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77715D4B">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一、</w:t>
            </w:r>
            <w:bookmarkStart w:id="0" w:name="_Hlk66973412"/>
            <w:r>
              <w:rPr>
                <w:rFonts w:hint="default" w:ascii="Times New Roman" w:hAnsi="Times New Roman" w:eastAsia="黑体" w:cs="Times New Roman"/>
                <w:kern w:val="0"/>
                <w:szCs w:val="21"/>
              </w:rPr>
              <w:t>本年新收政府信息公开申请数量</w:t>
            </w:r>
            <w:bookmarkEnd w:id="0"/>
          </w:p>
        </w:tc>
        <w:tc>
          <w:tcPr>
            <w:tcW w:w="747" w:type="dxa"/>
            <w:shd w:val="clear" w:color="auto" w:fill="auto"/>
            <w:tcMar>
              <w:left w:w="108" w:type="dxa"/>
              <w:right w:w="108" w:type="dxa"/>
            </w:tcMar>
            <w:vAlign w:val="center"/>
          </w:tcPr>
          <w:p w14:paraId="3F8DEDD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w:t>
            </w:r>
          </w:p>
        </w:tc>
        <w:tc>
          <w:tcPr>
            <w:tcW w:w="540" w:type="dxa"/>
            <w:gridSpan w:val="7"/>
            <w:shd w:val="clear" w:color="auto" w:fill="auto"/>
            <w:tcMar>
              <w:left w:w="108" w:type="dxa"/>
              <w:right w:w="108" w:type="dxa"/>
            </w:tcMar>
            <w:vAlign w:val="center"/>
          </w:tcPr>
          <w:p w14:paraId="7C84DD2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535ED47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3F0A176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74DD9C4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14:paraId="5EC2D0D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14:paraId="4C7EDFA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w:t>
            </w:r>
          </w:p>
        </w:tc>
      </w:tr>
      <w:tr w14:paraId="26B288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61474AA8">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二、上年结转政府信息公开申请数量</w:t>
            </w:r>
          </w:p>
        </w:tc>
        <w:tc>
          <w:tcPr>
            <w:tcW w:w="747" w:type="dxa"/>
            <w:shd w:val="clear" w:color="auto" w:fill="auto"/>
            <w:tcMar>
              <w:left w:w="108" w:type="dxa"/>
              <w:right w:w="108" w:type="dxa"/>
            </w:tcMar>
            <w:vAlign w:val="center"/>
          </w:tcPr>
          <w:p w14:paraId="6EA8219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4BC25B7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6A06821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7160C74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731FD39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14:paraId="3784EB8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14:paraId="7230D1D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3B4A11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12F8262F">
            <w:pPr>
              <w:keepNext w:val="0"/>
              <w:keepLines w:val="0"/>
              <w:pageBreakBefore w:val="0"/>
              <w:widowControl/>
              <w:kinsoku/>
              <w:wordWrap/>
              <w:overflowPunct/>
              <w:topLinePunct w:val="0"/>
              <w:autoSpaceDE/>
              <w:autoSpaceDN/>
              <w:bidi w:val="0"/>
              <w:adjustRightInd/>
              <w:snapToGrid/>
              <w:spacing w:after="180" w:line="260" w:lineRule="exact"/>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三、本年度办理结果</w:t>
            </w:r>
          </w:p>
        </w:tc>
        <w:tc>
          <w:tcPr>
            <w:tcW w:w="4677" w:type="dxa"/>
            <w:gridSpan w:val="2"/>
            <w:shd w:val="clear" w:color="auto" w:fill="auto"/>
            <w:tcMar>
              <w:left w:w="108" w:type="dxa"/>
              <w:right w:w="108" w:type="dxa"/>
            </w:tcMar>
            <w:vAlign w:val="center"/>
          </w:tcPr>
          <w:p w14:paraId="541B0AD8">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（一）予以公开</w:t>
            </w:r>
          </w:p>
        </w:tc>
        <w:tc>
          <w:tcPr>
            <w:tcW w:w="752" w:type="dxa"/>
            <w:gridSpan w:val="2"/>
            <w:shd w:val="clear" w:color="auto" w:fill="auto"/>
            <w:tcMar>
              <w:left w:w="108" w:type="dxa"/>
              <w:right w:w="108" w:type="dxa"/>
            </w:tcMar>
            <w:vAlign w:val="center"/>
          </w:tcPr>
          <w:p w14:paraId="72BE984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5FDC0E5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14:paraId="6EC3983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1CD8EC2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48171F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0F9B0A4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2C05572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252C34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01" w:hRule="atLeast"/>
          <w:jc w:val="center"/>
        </w:trPr>
        <w:tc>
          <w:tcPr>
            <w:tcW w:w="416" w:type="dxa"/>
            <w:vMerge w:val="continue"/>
            <w:shd w:val="clear" w:color="auto" w:fill="auto"/>
            <w:tcMar>
              <w:left w:w="108" w:type="dxa"/>
              <w:right w:w="108" w:type="dxa"/>
            </w:tcMar>
            <w:vAlign w:val="center"/>
          </w:tcPr>
          <w:p w14:paraId="53261E20">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14:paraId="396E2010">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（二）部分公开（</w:t>
            </w:r>
            <w:bookmarkStart w:id="1" w:name="_Hlk66973981"/>
            <w:r>
              <w:rPr>
                <w:rFonts w:hint="default" w:ascii="Times New Roman" w:hAnsi="Times New Roman" w:eastAsia="黑体" w:cs="Times New Roman"/>
                <w:kern w:val="0"/>
                <w:szCs w:val="21"/>
              </w:rPr>
              <w:t>区分处理的，只计这一情形，不计其他情形</w:t>
            </w:r>
            <w:bookmarkEnd w:id="1"/>
            <w:r>
              <w:rPr>
                <w:rFonts w:hint="default" w:ascii="Times New Roman" w:hAnsi="Times New Roman" w:eastAsia="黑体" w:cs="Times New Roman"/>
                <w:kern w:val="0"/>
                <w:szCs w:val="21"/>
              </w:rPr>
              <w:t>）</w:t>
            </w:r>
          </w:p>
        </w:tc>
        <w:tc>
          <w:tcPr>
            <w:tcW w:w="752" w:type="dxa"/>
            <w:gridSpan w:val="2"/>
            <w:shd w:val="clear" w:color="auto" w:fill="auto"/>
            <w:tcMar>
              <w:left w:w="108" w:type="dxa"/>
              <w:right w:w="108" w:type="dxa"/>
            </w:tcMar>
            <w:vAlign w:val="center"/>
          </w:tcPr>
          <w:p w14:paraId="3041A7C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14:paraId="08F8107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14:paraId="5D1A21D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309D59E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7A82DAB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493B6E3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3D7E9B0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333C27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8AAE1B8">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72CD0C89">
            <w:pPr>
              <w:keepNext w:val="0"/>
              <w:keepLines w:val="0"/>
              <w:pageBreakBefore w:val="0"/>
              <w:widowControl/>
              <w:kinsoku/>
              <w:wordWrap/>
              <w:overflowPunct/>
              <w:topLinePunct w:val="0"/>
              <w:autoSpaceDE/>
              <w:autoSpaceDN/>
              <w:bidi w:val="0"/>
              <w:adjustRightInd/>
              <w:snapToGrid/>
              <w:spacing w:line="260" w:lineRule="exact"/>
              <w:ind w:left="-107" w:leftChars="-51"/>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（三）不予公开</w:t>
            </w:r>
          </w:p>
        </w:tc>
        <w:tc>
          <w:tcPr>
            <w:tcW w:w="2976" w:type="dxa"/>
            <w:shd w:val="clear" w:color="auto" w:fill="auto"/>
            <w:tcMar>
              <w:left w:w="108" w:type="dxa"/>
              <w:right w:w="108" w:type="dxa"/>
            </w:tcMar>
            <w:vAlign w:val="center"/>
          </w:tcPr>
          <w:p w14:paraId="6948C11F">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1.属于国家秘密</w:t>
            </w:r>
          </w:p>
        </w:tc>
        <w:tc>
          <w:tcPr>
            <w:tcW w:w="752" w:type="dxa"/>
            <w:gridSpan w:val="2"/>
            <w:shd w:val="clear" w:color="auto" w:fill="auto"/>
            <w:tcMar>
              <w:left w:w="108" w:type="dxa"/>
              <w:right w:w="108" w:type="dxa"/>
            </w:tcMar>
            <w:vAlign w:val="center"/>
          </w:tcPr>
          <w:p w14:paraId="01AB907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40" w:type="dxa"/>
            <w:gridSpan w:val="7"/>
            <w:shd w:val="clear" w:color="auto" w:fill="auto"/>
            <w:tcMar>
              <w:left w:w="108" w:type="dxa"/>
              <w:right w:w="108" w:type="dxa"/>
            </w:tcMar>
            <w:vAlign w:val="center"/>
          </w:tcPr>
          <w:p w14:paraId="2AC5F5F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5" w:type="dxa"/>
            <w:gridSpan w:val="6"/>
            <w:shd w:val="clear" w:color="auto" w:fill="auto"/>
            <w:tcMar>
              <w:left w:w="108" w:type="dxa"/>
              <w:right w:w="108" w:type="dxa"/>
            </w:tcMar>
            <w:vAlign w:val="center"/>
          </w:tcPr>
          <w:p w14:paraId="7A741A4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5B0D57D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2CEDC8A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5839533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1E8D1DA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74CFB5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FFE5C10">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17C2371A">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202A5D7F">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2" w:name="_Hlk66974104"/>
            <w:r>
              <w:rPr>
                <w:rFonts w:hint="default" w:ascii="Times New Roman" w:hAnsi="Times New Roman" w:eastAsia="仿宋_GB2312" w:cs="Times New Roman"/>
                <w:kern w:val="0"/>
                <w:szCs w:val="21"/>
              </w:rPr>
              <w:t>其他法律行政法规禁止公开</w:t>
            </w:r>
            <w:bookmarkEnd w:id="2"/>
          </w:p>
        </w:tc>
        <w:tc>
          <w:tcPr>
            <w:tcW w:w="757" w:type="dxa"/>
            <w:gridSpan w:val="3"/>
            <w:shd w:val="clear" w:color="auto" w:fill="auto"/>
            <w:tcMar>
              <w:left w:w="108" w:type="dxa"/>
              <w:right w:w="108" w:type="dxa"/>
            </w:tcMar>
            <w:vAlign w:val="center"/>
          </w:tcPr>
          <w:p w14:paraId="329A80E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04ACF56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1" w:type="dxa"/>
            <w:gridSpan w:val="5"/>
            <w:shd w:val="clear" w:color="auto" w:fill="auto"/>
            <w:tcMar>
              <w:left w:w="108" w:type="dxa"/>
              <w:right w:w="108" w:type="dxa"/>
            </w:tcMar>
            <w:vAlign w:val="center"/>
          </w:tcPr>
          <w:p w14:paraId="626A57D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757F50E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6031E7F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632D41A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0670389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r>
      <w:tr w14:paraId="6C00DC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B9367F8">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28C3076">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2A34ABB">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3.危及“三安全一稳定”</w:t>
            </w:r>
          </w:p>
        </w:tc>
        <w:tc>
          <w:tcPr>
            <w:tcW w:w="757" w:type="dxa"/>
            <w:gridSpan w:val="3"/>
            <w:shd w:val="clear" w:color="auto" w:fill="auto"/>
            <w:tcMar>
              <w:left w:w="108" w:type="dxa"/>
              <w:right w:w="108" w:type="dxa"/>
            </w:tcMar>
            <w:vAlign w:val="center"/>
          </w:tcPr>
          <w:p w14:paraId="66AAB8C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235C646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1" w:type="dxa"/>
            <w:gridSpan w:val="5"/>
            <w:shd w:val="clear" w:color="auto" w:fill="auto"/>
            <w:tcMar>
              <w:left w:w="108" w:type="dxa"/>
              <w:right w:w="108" w:type="dxa"/>
            </w:tcMar>
            <w:vAlign w:val="center"/>
          </w:tcPr>
          <w:p w14:paraId="3BC2431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35166CC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48306BE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2985126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B1357C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3630C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8D05C0E">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09831655">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2DC2327B">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4.</w:t>
            </w:r>
            <w:bookmarkStart w:id="3" w:name="_Hlk66974290"/>
            <w:r>
              <w:rPr>
                <w:rFonts w:hint="default" w:ascii="Times New Roman" w:hAnsi="Times New Roman" w:eastAsia="仿宋_GB2312" w:cs="Times New Roman"/>
                <w:kern w:val="0"/>
                <w:szCs w:val="21"/>
              </w:rPr>
              <w:t>保护第三方合法权益</w:t>
            </w:r>
            <w:bookmarkEnd w:id="3"/>
          </w:p>
        </w:tc>
        <w:tc>
          <w:tcPr>
            <w:tcW w:w="757" w:type="dxa"/>
            <w:gridSpan w:val="3"/>
            <w:shd w:val="clear" w:color="auto" w:fill="auto"/>
            <w:tcMar>
              <w:left w:w="108" w:type="dxa"/>
              <w:right w:w="108" w:type="dxa"/>
            </w:tcMar>
            <w:vAlign w:val="center"/>
          </w:tcPr>
          <w:p w14:paraId="7A66B20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3EFB92A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1" w:type="dxa"/>
            <w:gridSpan w:val="5"/>
            <w:shd w:val="clear" w:color="auto" w:fill="auto"/>
            <w:tcMar>
              <w:left w:w="108" w:type="dxa"/>
              <w:right w:w="108" w:type="dxa"/>
            </w:tcMar>
            <w:vAlign w:val="center"/>
          </w:tcPr>
          <w:p w14:paraId="15E5BB1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79640A6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1369CE6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1A3296B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2135B9F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4F7F5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ADEEB55">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2B566E61">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3ADFF728">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5.属于三类内部事务信息</w:t>
            </w:r>
          </w:p>
        </w:tc>
        <w:tc>
          <w:tcPr>
            <w:tcW w:w="761" w:type="dxa"/>
            <w:gridSpan w:val="4"/>
            <w:shd w:val="clear" w:color="auto" w:fill="auto"/>
            <w:tcMar>
              <w:left w:w="108" w:type="dxa"/>
              <w:right w:w="108" w:type="dxa"/>
            </w:tcMar>
            <w:vAlign w:val="center"/>
          </w:tcPr>
          <w:p w14:paraId="19C4F40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17C933C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14:paraId="63A3967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4027F3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35D931A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0C0486E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1204BB6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44DFFA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E6B5D3C">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339BFF34">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1E6603B">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6.</w:t>
            </w:r>
            <w:bookmarkStart w:id="4" w:name="_Hlk66974555"/>
            <w:r>
              <w:rPr>
                <w:rFonts w:hint="default" w:ascii="Times New Roman" w:hAnsi="Times New Roman" w:eastAsia="仿宋_GB2312" w:cs="Times New Roman"/>
                <w:kern w:val="0"/>
                <w:szCs w:val="21"/>
              </w:rPr>
              <w:t>属于四类过程性信息</w:t>
            </w:r>
            <w:bookmarkEnd w:id="4"/>
          </w:p>
        </w:tc>
        <w:tc>
          <w:tcPr>
            <w:tcW w:w="761" w:type="dxa"/>
            <w:gridSpan w:val="4"/>
            <w:shd w:val="clear" w:color="auto" w:fill="auto"/>
            <w:tcMar>
              <w:left w:w="108" w:type="dxa"/>
              <w:right w:w="108" w:type="dxa"/>
            </w:tcMar>
            <w:vAlign w:val="center"/>
          </w:tcPr>
          <w:p w14:paraId="0A4E500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0561A88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14:paraId="6117B8D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0B9E3E7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400B583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590FFCB0">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02962E9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C3C4A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F9F8CF0">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345673B6">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46759482">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7.属于行政执法案卷</w:t>
            </w:r>
          </w:p>
        </w:tc>
        <w:tc>
          <w:tcPr>
            <w:tcW w:w="761" w:type="dxa"/>
            <w:gridSpan w:val="4"/>
            <w:shd w:val="clear" w:color="auto" w:fill="auto"/>
            <w:tcMar>
              <w:left w:w="108" w:type="dxa"/>
              <w:right w:w="108" w:type="dxa"/>
            </w:tcMar>
            <w:vAlign w:val="center"/>
          </w:tcPr>
          <w:p w14:paraId="2413759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6AB5B6F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14:paraId="61937AE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3537B60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1ED8B940">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303B5150">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7CF6C4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49D86E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8628006">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54581A8A">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66CE39FF">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8.</w:t>
            </w:r>
            <w:bookmarkStart w:id="5" w:name="_Hlk66975211"/>
            <w:r>
              <w:rPr>
                <w:rFonts w:hint="default" w:ascii="Times New Roman" w:hAnsi="Times New Roman" w:eastAsia="仿宋_GB2312" w:cs="Times New Roman"/>
                <w:kern w:val="0"/>
                <w:szCs w:val="21"/>
              </w:rPr>
              <w:t>属于行政查询事项</w:t>
            </w:r>
            <w:bookmarkEnd w:id="5"/>
          </w:p>
        </w:tc>
        <w:tc>
          <w:tcPr>
            <w:tcW w:w="761" w:type="dxa"/>
            <w:gridSpan w:val="4"/>
            <w:shd w:val="clear" w:color="auto" w:fill="auto"/>
            <w:tcMar>
              <w:left w:w="108" w:type="dxa"/>
              <w:right w:w="108" w:type="dxa"/>
            </w:tcMar>
            <w:vAlign w:val="center"/>
          </w:tcPr>
          <w:p w14:paraId="2001941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9" w:type="dxa"/>
            <w:gridSpan w:val="7"/>
            <w:shd w:val="clear" w:color="auto" w:fill="auto"/>
            <w:tcMar>
              <w:left w:w="108" w:type="dxa"/>
              <w:right w:w="108" w:type="dxa"/>
            </w:tcMar>
            <w:vAlign w:val="center"/>
          </w:tcPr>
          <w:p w14:paraId="2ACBFBD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14:paraId="66ECFAD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19AA289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1B2DC1A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741AB45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91A4C1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2D0929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20C5AF9">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1F9DA04D">
            <w:pPr>
              <w:keepNext w:val="0"/>
              <w:keepLines w:val="0"/>
              <w:pageBreakBefore w:val="0"/>
              <w:widowControl/>
              <w:kinsoku/>
              <w:wordWrap/>
              <w:overflowPunct/>
              <w:topLinePunct w:val="0"/>
              <w:autoSpaceDE/>
              <w:autoSpaceDN/>
              <w:bidi w:val="0"/>
              <w:adjustRightInd/>
              <w:snapToGrid/>
              <w:spacing w:line="260" w:lineRule="exact"/>
              <w:ind w:left="-107" w:leftChars="-51"/>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（四）无法提供</w:t>
            </w:r>
          </w:p>
        </w:tc>
        <w:tc>
          <w:tcPr>
            <w:tcW w:w="2976" w:type="dxa"/>
            <w:shd w:val="clear" w:color="auto" w:fill="auto"/>
            <w:tcMar>
              <w:left w:w="108" w:type="dxa"/>
              <w:right w:w="108" w:type="dxa"/>
            </w:tcMar>
            <w:vAlign w:val="center"/>
          </w:tcPr>
          <w:p w14:paraId="6A691B1E">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1.本机关不掌握相关政府信息</w:t>
            </w:r>
          </w:p>
        </w:tc>
        <w:tc>
          <w:tcPr>
            <w:tcW w:w="765" w:type="dxa"/>
            <w:gridSpan w:val="5"/>
            <w:shd w:val="clear" w:color="auto" w:fill="auto"/>
            <w:tcMar>
              <w:left w:w="108" w:type="dxa"/>
              <w:right w:w="108" w:type="dxa"/>
            </w:tcMar>
            <w:vAlign w:val="center"/>
          </w:tcPr>
          <w:p w14:paraId="0D3D3E4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Times New Roman" w:hAnsi="Times New Roman" w:eastAsia="仿宋_GB2312" w:cs="Times New Roman"/>
                <w:szCs w:val="21"/>
                <w:lang w:val="en-US" w:eastAsia="zh-CN"/>
              </w:rPr>
            </w:pPr>
            <w:r>
              <w:rPr>
                <w:rFonts w:hint="eastAsia" w:ascii="Times New Roman" w:hAnsi="Times New Roman" w:eastAsia="仿宋_GB2312" w:cs="Times New Roman"/>
                <w:szCs w:val="21"/>
                <w:lang w:val="en-US" w:eastAsia="zh-CN"/>
              </w:rPr>
              <w:t>1</w:t>
            </w:r>
          </w:p>
        </w:tc>
        <w:tc>
          <w:tcPr>
            <w:tcW w:w="538" w:type="dxa"/>
            <w:gridSpan w:val="7"/>
            <w:shd w:val="clear" w:color="auto" w:fill="auto"/>
            <w:tcMar>
              <w:left w:w="108" w:type="dxa"/>
              <w:right w:w="108" w:type="dxa"/>
            </w:tcMar>
            <w:vAlign w:val="center"/>
          </w:tcPr>
          <w:p w14:paraId="7159128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14:paraId="5C11B15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3A21659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776BAFB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6B1FAA7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0E70327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Times New Roman" w:hAnsi="Times New Roman" w:eastAsia="仿宋_GB2312" w:cs="Times New Roman"/>
                <w:szCs w:val="21"/>
                <w:lang w:val="en-US" w:eastAsia="zh-CN"/>
              </w:rPr>
            </w:pPr>
            <w:r>
              <w:rPr>
                <w:rFonts w:hint="eastAsia" w:ascii="Times New Roman" w:hAnsi="Times New Roman" w:eastAsia="仿宋_GB2312" w:cs="Times New Roman"/>
                <w:szCs w:val="21"/>
                <w:lang w:val="en-US" w:eastAsia="zh-CN"/>
              </w:rPr>
              <w:t>1</w:t>
            </w:r>
          </w:p>
        </w:tc>
      </w:tr>
      <w:tr w14:paraId="26A439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052F77E">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4BA07375">
            <w:pPr>
              <w:keepNext w:val="0"/>
              <w:keepLines w:val="0"/>
              <w:pageBreakBefore w:val="0"/>
              <w:widowControl/>
              <w:kinsoku/>
              <w:wordWrap/>
              <w:overflowPunct/>
              <w:topLinePunct w:val="0"/>
              <w:autoSpaceDE/>
              <w:autoSpaceDN/>
              <w:bidi w:val="0"/>
              <w:adjustRightInd/>
              <w:snapToGrid/>
              <w:spacing w:line="260" w:lineRule="exact"/>
              <w:ind w:left="-107" w:leftChars="-51"/>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0E2C35B5">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w:t>
            </w:r>
            <w:bookmarkStart w:id="6" w:name="_Hlk66975392"/>
            <w:r>
              <w:rPr>
                <w:rFonts w:hint="default" w:ascii="Times New Roman" w:hAnsi="Times New Roman" w:eastAsia="仿宋_GB2312" w:cs="Times New Roman"/>
                <w:kern w:val="0"/>
                <w:szCs w:val="21"/>
              </w:rPr>
              <w:t>没有现成信息需要另行制作</w:t>
            </w:r>
            <w:bookmarkEnd w:id="6"/>
          </w:p>
        </w:tc>
        <w:tc>
          <w:tcPr>
            <w:tcW w:w="765" w:type="dxa"/>
            <w:gridSpan w:val="5"/>
            <w:shd w:val="clear" w:color="auto" w:fill="auto"/>
            <w:tcMar>
              <w:left w:w="108" w:type="dxa"/>
              <w:right w:w="108" w:type="dxa"/>
            </w:tcMar>
            <w:vAlign w:val="center"/>
          </w:tcPr>
          <w:p w14:paraId="71F0CAC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5B9C8CC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14:paraId="74E607B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7A5EE71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60E2E7E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1B218D4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FBFD66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59E5D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7FC86C7">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1C5EF0B0">
            <w:pPr>
              <w:keepNext w:val="0"/>
              <w:keepLines w:val="0"/>
              <w:pageBreakBefore w:val="0"/>
              <w:widowControl/>
              <w:kinsoku/>
              <w:wordWrap/>
              <w:overflowPunct/>
              <w:topLinePunct w:val="0"/>
              <w:autoSpaceDE/>
              <w:autoSpaceDN/>
              <w:bidi w:val="0"/>
              <w:adjustRightInd/>
              <w:snapToGrid/>
              <w:spacing w:line="260" w:lineRule="exact"/>
              <w:ind w:left="-107" w:leftChars="-51"/>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2B8B5110">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3.</w:t>
            </w:r>
            <w:bookmarkStart w:id="7" w:name="_Hlk66975466"/>
            <w:r>
              <w:rPr>
                <w:rFonts w:hint="default" w:ascii="Times New Roman" w:hAnsi="Times New Roman" w:eastAsia="仿宋_GB2312" w:cs="Times New Roman"/>
                <w:kern w:val="0"/>
                <w:szCs w:val="21"/>
              </w:rPr>
              <w:t>补正后申请内容仍不明确</w:t>
            </w:r>
            <w:bookmarkEnd w:id="7"/>
          </w:p>
        </w:tc>
        <w:tc>
          <w:tcPr>
            <w:tcW w:w="765" w:type="dxa"/>
            <w:gridSpan w:val="5"/>
            <w:shd w:val="clear" w:color="auto" w:fill="auto"/>
            <w:tcMar>
              <w:left w:w="108" w:type="dxa"/>
              <w:right w:w="108" w:type="dxa"/>
            </w:tcMar>
            <w:vAlign w:val="center"/>
          </w:tcPr>
          <w:p w14:paraId="189297A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3698B34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14:paraId="36C0847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3989E57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4B86A35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1B31FD2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257FE39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32B4EF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D8C8999">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339B2389">
            <w:pPr>
              <w:keepNext w:val="0"/>
              <w:keepLines w:val="0"/>
              <w:pageBreakBefore w:val="0"/>
              <w:widowControl/>
              <w:kinsoku/>
              <w:wordWrap/>
              <w:overflowPunct/>
              <w:topLinePunct w:val="0"/>
              <w:autoSpaceDE/>
              <w:autoSpaceDN/>
              <w:bidi w:val="0"/>
              <w:adjustRightInd/>
              <w:snapToGrid/>
              <w:spacing w:line="260" w:lineRule="exact"/>
              <w:ind w:left="-107" w:leftChars="-51"/>
              <w:textAlignment w:val="auto"/>
              <w:rPr>
                <w:rFonts w:hint="default" w:ascii="Times New Roman" w:hAnsi="Times New Roman" w:eastAsia="黑体" w:cs="Times New Roman"/>
                <w:szCs w:val="21"/>
              </w:rPr>
            </w:pPr>
            <w:r>
              <w:rPr>
                <w:rFonts w:hint="default" w:ascii="Times New Roman" w:hAnsi="Times New Roman" w:eastAsia="黑体" w:cs="Times New Roman"/>
                <w:kern w:val="0"/>
                <w:szCs w:val="21"/>
              </w:rPr>
              <w:t>（五）不予处理</w:t>
            </w:r>
          </w:p>
        </w:tc>
        <w:tc>
          <w:tcPr>
            <w:tcW w:w="2976" w:type="dxa"/>
            <w:shd w:val="clear" w:color="auto" w:fill="auto"/>
            <w:tcMar>
              <w:left w:w="108" w:type="dxa"/>
              <w:right w:w="108" w:type="dxa"/>
            </w:tcMar>
            <w:vAlign w:val="center"/>
          </w:tcPr>
          <w:p w14:paraId="47209ACB">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1.</w:t>
            </w:r>
            <w:bookmarkStart w:id="8" w:name="_Hlk66975537"/>
            <w:r>
              <w:rPr>
                <w:rFonts w:hint="default" w:ascii="Times New Roman" w:hAnsi="Times New Roman" w:eastAsia="仿宋_GB2312" w:cs="Times New Roman"/>
                <w:kern w:val="0"/>
                <w:szCs w:val="21"/>
              </w:rPr>
              <w:t>信访举报投诉类申请</w:t>
            </w:r>
            <w:bookmarkEnd w:id="8"/>
          </w:p>
        </w:tc>
        <w:tc>
          <w:tcPr>
            <w:tcW w:w="765" w:type="dxa"/>
            <w:gridSpan w:val="5"/>
            <w:shd w:val="clear" w:color="auto" w:fill="auto"/>
            <w:tcMar>
              <w:left w:w="108" w:type="dxa"/>
              <w:right w:w="108" w:type="dxa"/>
            </w:tcMar>
            <w:vAlign w:val="center"/>
          </w:tcPr>
          <w:p w14:paraId="469F93C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3DA35AE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4" w:type="dxa"/>
            <w:gridSpan w:val="3"/>
            <w:shd w:val="clear" w:color="auto" w:fill="auto"/>
            <w:tcMar>
              <w:left w:w="108" w:type="dxa"/>
              <w:right w:w="108" w:type="dxa"/>
            </w:tcMar>
            <w:vAlign w:val="center"/>
          </w:tcPr>
          <w:p w14:paraId="725E70A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0EFC374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5721817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7517328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39EDD84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06349A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E0D1D56">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69AF6EAB">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E788E34">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2.重复申请</w:t>
            </w:r>
          </w:p>
        </w:tc>
        <w:tc>
          <w:tcPr>
            <w:tcW w:w="768" w:type="dxa"/>
            <w:gridSpan w:val="6"/>
            <w:shd w:val="clear" w:color="auto" w:fill="auto"/>
            <w:tcMar>
              <w:left w:w="108" w:type="dxa"/>
              <w:right w:w="108" w:type="dxa"/>
            </w:tcMar>
            <w:vAlign w:val="center"/>
          </w:tcPr>
          <w:p w14:paraId="2C7D4DB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69CB664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14:paraId="1E538E3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7236A6E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62D04BE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6F61492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462550A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3B069B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390313B">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6FA86DCD">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1D42FC8F">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3.要求提供公开出版物</w:t>
            </w:r>
          </w:p>
        </w:tc>
        <w:tc>
          <w:tcPr>
            <w:tcW w:w="768" w:type="dxa"/>
            <w:gridSpan w:val="6"/>
            <w:shd w:val="clear" w:color="auto" w:fill="auto"/>
            <w:tcMar>
              <w:left w:w="108" w:type="dxa"/>
              <w:right w:w="108" w:type="dxa"/>
            </w:tcMar>
            <w:vAlign w:val="center"/>
          </w:tcPr>
          <w:p w14:paraId="0262671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78E0EB7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14:paraId="3B719BA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5AF4174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2930006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0E573C6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6B849F4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2624D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169E3301">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38D04740">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57B7E45D">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4.无正当理由大量反复申请</w:t>
            </w:r>
          </w:p>
        </w:tc>
        <w:tc>
          <w:tcPr>
            <w:tcW w:w="768" w:type="dxa"/>
            <w:gridSpan w:val="6"/>
            <w:shd w:val="clear" w:color="auto" w:fill="auto"/>
            <w:tcMar>
              <w:left w:w="108" w:type="dxa"/>
              <w:right w:w="108" w:type="dxa"/>
            </w:tcMar>
            <w:vAlign w:val="center"/>
          </w:tcPr>
          <w:p w14:paraId="4353B41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170FC5F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14:paraId="7A64206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7C296C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369ABC7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780D3C2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6C93649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143274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01AA828">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1A496AF3">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2976" w:type="dxa"/>
            <w:shd w:val="clear" w:color="auto" w:fill="auto"/>
            <w:tcMar>
              <w:left w:w="108" w:type="dxa"/>
              <w:right w:w="108" w:type="dxa"/>
            </w:tcMar>
            <w:vAlign w:val="center"/>
          </w:tcPr>
          <w:p w14:paraId="60ACFAEC">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kern w:val="0"/>
                <w:szCs w:val="21"/>
              </w:rPr>
              <w:t>5.要求行政机关确认或重新</w:t>
            </w:r>
          </w:p>
          <w:p w14:paraId="0C43315C">
            <w:pPr>
              <w:keepNext w:val="0"/>
              <w:keepLines w:val="0"/>
              <w:pageBreakBefore w:val="0"/>
              <w:widowControl/>
              <w:kinsoku/>
              <w:wordWrap/>
              <w:overflowPunct/>
              <w:topLinePunct w:val="0"/>
              <w:autoSpaceDE/>
              <w:autoSpaceDN/>
              <w:bidi w:val="0"/>
              <w:adjustRightInd/>
              <w:snapToGrid/>
              <w:spacing w:line="260" w:lineRule="exact"/>
              <w:ind w:firstLine="210" w:firstLineChars="100"/>
              <w:textAlignment w:val="auto"/>
              <w:rPr>
                <w:rFonts w:hint="default" w:ascii="Times New Roman" w:hAnsi="Times New Roman" w:eastAsia="仿宋_GB2312" w:cs="Times New Roman"/>
                <w:szCs w:val="21"/>
              </w:rPr>
            </w:pPr>
            <w:r>
              <w:rPr>
                <w:rFonts w:hint="default" w:ascii="Times New Roman" w:hAnsi="Times New Roman" w:eastAsia="仿宋_GB2312" w:cs="Times New Roman"/>
                <w:kern w:val="0"/>
                <w:szCs w:val="21"/>
              </w:rPr>
              <w:t>出具已获取信息</w:t>
            </w:r>
          </w:p>
        </w:tc>
        <w:tc>
          <w:tcPr>
            <w:tcW w:w="768" w:type="dxa"/>
            <w:gridSpan w:val="6"/>
            <w:shd w:val="clear" w:color="auto" w:fill="auto"/>
            <w:tcMar>
              <w:left w:w="108" w:type="dxa"/>
              <w:right w:w="108" w:type="dxa"/>
            </w:tcMar>
            <w:vAlign w:val="center"/>
          </w:tcPr>
          <w:p w14:paraId="4FF5D37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4D09362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1" w:type="dxa"/>
            <w:gridSpan w:val="2"/>
            <w:shd w:val="clear" w:color="auto" w:fill="auto"/>
            <w:tcMar>
              <w:left w:w="108" w:type="dxa"/>
              <w:right w:w="108" w:type="dxa"/>
            </w:tcMar>
            <w:vAlign w:val="center"/>
          </w:tcPr>
          <w:p w14:paraId="36F4246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340663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6E0EA1E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75E1230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408028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63CBCD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054ACBE">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restart"/>
            <w:shd w:val="clear" w:color="auto" w:fill="auto"/>
            <w:tcMar>
              <w:left w:w="108" w:type="dxa"/>
              <w:right w:w="108" w:type="dxa"/>
            </w:tcMar>
            <w:vAlign w:val="center"/>
          </w:tcPr>
          <w:p w14:paraId="1B641320">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（六）其他处理</w:t>
            </w:r>
          </w:p>
        </w:tc>
        <w:tc>
          <w:tcPr>
            <w:tcW w:w="2976" w:type="dxa"/>
            <w:shd w:val="clear" w:color="auto" w:fill="auto"/>
            <w:vAlign w:val="center"/>
          </w:tcPr>
          <w:p w14:paraId="55DCF5A0">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rPr>
            </w:pPr>
            <w:r>
              <w:rPr>
                <w:rFonts w:hint="default" w:ascii="Times New Roman" w:hAnsi="Times New Roman" w:eastAsia="仿宋_GB2312" w:cs="Times New Roman"/>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14:paraId="2FC0A9C0">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295C488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dxa"/>
            <w:shd w:val="clear" w:color="auto" w:fill="auto"/>
            <w:tcMar>
              <w:left w:w="108" w:type="dxa"/>
              <w:right w:w="108" w:type="dxa"/>
            </w:tcMar>
            <w:vAlign w:val="center"/>
          </w:tcPr>
          <w:p w14:paraId="70DEF31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FD643D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74A6E0B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6EE073F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2AB4E0D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14:paraId="77CAEB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13FE2F9">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330CFA9C">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kern w:val="0"/>
                <w:szCs w:val="21"/>
              </w:rPr>
            </w:pPr>
          </w:p>
        </w:tc>
        <w:tc>
          <w:tcPr>
            <w:tcW w:w="2976" w:type="dxa"/>
            <w:shd w:val="clear" w:color="auto" w:fill="auto"/>
            <w:vAlign w:val="center"/>
          </w:tcPr>
          <w:p w14:paraId="5EA17B98">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14:paraId="6866F8A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44BC63E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c>
          <w:tcPr>
            <w:tcW w:w="518" w:type="dxa"/>
            <w:shd w:val="clear" w:color="auto" w:fill="auto"/>
            <w:tcMar>
              <w:left w:w="108" w:type="dxa"/>
              <w:right w:w="108" w:type="dxa"/>
            </w:tcMar>
            <w:vAlign w:val="center"/>
          </w:tcPr>
          <w:p w14:paraId="5CB28670">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85E32E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0335E2B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5E29DD9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5F37C22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r>
      <w:tr w14:paraId="3F24E9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1C6A74B">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1701" w:type="dxa"/>
            <w:vMerge w:val="continue"/>
            <w:shd w:val="clear" w:color="auto" w:fill="auto"/>
            <w:tcMar>
              <w:left w:w="108" w:type="dxa"/>
              <w:right w:w="108" w:type="dxa"/>
            </w:tcMar>
            <w:vAlign w:val="center"/>
          </w:tcPr>
          <w:p w14:paraId="6D597894">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kern w:val="0"/>
                <w:szCs w:val="21"/>
              </w:rPr>
            </w:pPr>
          </w:p>
        </w:tc>
        <w:tc>
          <w:tcPr>
            <w:tcW w:w="2976" w:type="dxa"/>
            <w:shd w:val="clear" w:color="auto" w:fill="auto"/>
            <w:vAlign w:val="center"/>
          </w:tcPr>
          <w:p w14:paraId="066D5E86">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仿宋_GB2312" w:cs="Times New Roman"/>
                <w:kern w:val="0"/>
                <w:szCs w:val="21"/>
              </w:rPr>
            </w:pPr>
            <w:r>
              <w:rPr>
                <w:rFonts w:hint="default" w:ascii="Times New Roman" w:hAnsi="Times New Roman" w:eastAsia="仿宋_GB2312" w:cs="Times New Roman"/>
              </w:rPr>
              <w:t>3.其他</w:t>
            </w:r>
          </w:p>
        </w:tc>
        <w:tc>
          <w:tcPr>
            <w:tcW w:w="771" w:type="dxa"/>
            <w:gridSpan w:val="7"/>
            <w:shd w:val="clear" w:color="auto" w:fill="auto"/>
            <w:tcMar>
              <w:left w:w="108" w:type="dxa"/>
              <w:right w:w="108" w:type="dxa"/>
            </w:tcMar>
            <w:vAlign w:val="center"/>
          </w:tcPr>
          <w:p w14:paraId="7983503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FF0000"/>
                <w:szCs w:val="21"/>
                <w:lang w:val="en-US" w:eastAsia="zh-CN"/>
              </w:rPr>
            </w:pPr>
            <w:r>
              <w:rPr>
                <w:rFonts w:hint="default" w:ascii="Times New Roman" w:hAnsi="Times New Roman" w:eastAsia="仿宋_GB2312" w:cs="Times New Roman"/>
                <w:szCs w:val="21"/>
                <w:lang w:val="en-US" w:eastAsia="zh-CN"/>
              </w:rPr>
              <w:t>0</w:t>
            </w:r>
          </w:p>
        </w:tc>
        <w:tc>
          <w:tcPr>
            <w:tcW w:w="538" w:type="dxa"/>
            <w:gridSpan w:val="7"/>
            <w:shd w:val="clear" w:color="auto" w:fill="auto"/>
            <w:tcMar>
              <w:left w:w="108" w:type="dxa"/>
              <w:right w:w="108" w:type="dxa"/>
            </w:tcMar>
            <w:vAlign w:val="center"/>
          </w:tcPr>
          <w:p w14:paraId="1B27B43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FF0000"/>
                <w:szCs w:val="21"/>
                <w:lang w:val="en-US" w:eastAsia="zh-CN"/>
              </w:rPr>
            </w:pPr>
            <w:r>
              <w:rPr>
                <w:rFonts w:hint="default" w:ascii="Times New Roman" w:hAnsi="Times New Roman" w:eastAsia="仿宋_GB2312" w:cs="Times New Roman"/>
                <w:szCs w:val="21"/>
                <w:lang w:val="en-US" w:eastAsia="zh-CN"/>
              </w:rPr>
              <w:t>0</w:t>
            </w:r>
          </w:p>
        </w:tc>
        <w:tc>
          <w:tcPr>
            <w:tcW w:w="518" w:type="dxa"/>
            <w:shd w:val="clear" w:color="auto" w:fill="auto"/>
            <w:tcMar>
              <w:left w:w="108" w:type="dxa"/>
              <w:right w:w="108" w:type="dxa"/>
            </w:tcMar>
            <w:vAlign w:val="center"/>
          </w:tcPr>
          <w:p w14:paraId="63E0FE1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62C102D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2336CFE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0343AAB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7B6D7DD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FF0000"/>
                <w:szCs w:val="21"/>
                <w:lang w:val="en-US"/>
              </w:rPr>
            </w:pPr>
            <w:r>
              <w:rPr>
                <w:rFonts w:hint="default" w:ascii="Times New Roman" w:hAnsi="Times New Roman" w:eastAsia="仿宋_GB2312" w:cs="Times New Roman"/>
                <w:szCs w:val="21"/>
                <w:lang w:val="en-US" w:eastAsia="zh-CN"/>
              </w:rPr>
              <w:t>0</w:t>
            </w:r>
          </w:p>
        </w:tc>
      </w:tr>
      <w:tr w14:paraId="70586E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CD2D115">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szCs w:val="21"/>
              </w:rPr>
            </w:pPr>
          </w:p>
        </w:tc>
        <w:tc>
          <w:tcPr>
            <w:tcW w:w="4677" w:type="dxa"/>
            <w:gridSpan w:val="2"/>
            <w:shd w:val="clear" w:color="auto" w:fill="auto"/>
            <w:tcMar>
              <w:left w:w="108" w:type="dxa"/>
              <w:right w:w="108" w:type="dxa"/>
            </w:tcMar>
            <w:vAlign w:val="center"/>
          </w:tcPr>
          <w:p w14:paraId="794B02D2">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（七）总计</w:t>
            </w:r>
          </w:p>
        </w:tc>
        <w:tc>
          <w:tcPr>
            <w:tcW w:w="761" w:type="dxa"/>
            <w:gridSpan w:val="4"/>
            <w:shd w:val="clear" w:color="auto" w:fill="auto"/>
            <w:tcMar>
              <w:left w:w="108" w:type="dxa"/>
              <w:right w:w="108" w:type="dxa"/>
            </w:tcMar>
            <w:vAlign w:val="center"/>
          </w:tcPr>
          <w:p w14:paraId="003872E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1</w:t>
            </w:r>
          </w:p>
        </w:tc>
        <w:tc>
          <w:tcPr>
            <w:tcW w:w="539" w:type="dxa"/>
            <w:gridSpan w:val="7"/>
            <w:shd w:val="clear" w:color="auto" w:fill="auto"/>
            <w:tcMar>
              <w:left w:w="108" w:type="dxa"/>
              <w:right w:w="108" w:type="dxa"/>
            </w:tcMar>
            <w:vAlign w:val="center"/>
          </w:tcPr>
          <w:p w14:paraId="15CB740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FF0000"/>
                <w:szCs w:val="21"/>
              </w:rPr>
            </w:pPr>
            <w:r>
              <w:rPr>
                <w:rFonts w:hint="default" w:ascii="Times New Roman" w:hAnsi="Times New Roman" w:eastAsia="仿宋_GB2312" w:cs="Times New Roman"/>
                <w:szCs w:val="21"/>
                <w:lang w:val="en-US" w:eastAsia="zh-CN"/>
              </w:rPr>
              <w:t>0</w:t>
            </w:r>
          </w:p>
        </w:tc>
        <w:tc>
          <w:tcPr>
            <w:tcW w:w="527" w:type="dxa"/>
            <w:gridSpan w:val="4"/>
            <w:shd w:val="clear" w:color="auto" w:fill="auto"/>
            <w:tcMar>
              <w:left w:w="108" w:type="dxa"/>
              <w:right w:w="108" w:type="dxa"/>
            </w:tcMar>
            <w:vAlign w:val="center"/>
          </w:tcPr>
          <w:p w14:paraId="7ED3A16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117E444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3758924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09E5A1F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6DC2F1E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lang w:val="en-US" w:eastAsia="zh-CN"/>
              </w:rPr>
            </w:pPr>
            <w:r>
              <w:rPr>
                <w:rFonts w:hint="eastAsia" w:ascii="Times New Roman" w:hAnsi="Times New Roman" w:eastAsia="仿宋_GB2312" w:cs="Times New Roman"/>
                <w:szCs w:val="21"/>
                <w:lang w:val="en-US" w:eastAsia="zh-CN"/>
              </w:rPr>
              <w:t>1</w:t>
            </w:r>
          </w:p>
        </w:tc>
      </w:tr>
      <w:tr w14:paraId="683714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553831F2">
            <w:pPr>
              <w:keepNext w:val="0"/>
              <w:keepLines w:val="0"/>
              <w:pageBreakBefore w:val="0"/>
              <w:widowControl/>
              <w:kinsoku/>
              <w:wordWrap/>
              <w:overflowPunct/>
              <w:topLinePunct w:val="0"/>
              <w:autoSpaceDE/>
              <w:autoSpaceDN/>
              <w:bidi w:val="0"/>
              <w:adjustRightInd/>
              <w:snapToGrid/>
              <w:spacing w:line="260" w:lineRule="exact"/>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四、结转下年度继续办理</w:t>
            </w:r>
          </w:p>
        </w:tc>
        <w:tc>
          <w:tcPr>
            <w:tcW w:w="761" w:type="dxa"/>
            <w:gridSpan w:val="4"/>
            <w:shd w:val="clear" w:color="auto" w:fill="auto"/>
            <w:tcMar>
              <w:left w:w="108" w:type="dxa"/>
              <w:right w:w="108" w:type="dxa"/>
            </w:tcMar>
            <w:vAlign w:val="center"/>
          </w:tcPr>
          <w:p w14:paraId="0FEA9AE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14:paraId="09DF5AC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FF0000"/>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14:paraId="72EAD57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20" w:type="dxa"/>
            <w:shd w:val="clear" w:color="auto" w:fill="auto"/>
            <w:tcMar>
              <w:left w:w="108" w:type="dxa"/>
              <w:right w:w="108" w:type="dxa"/>
            </w:tcMar>
            <w:vAlign w:val="center"/>
          </w:tcPr>
          <w:p w14:paraId="230EBF8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675" w:type="dxa"/>
            <w:shd w:val="clear" w:color="auto" w:fill="auto"/>
            <w:tcMar>
              <w:left w:w="108" w:type="dxa"/>
              <w:right w:w="108" w:type="dxa"/>
            </w:tcMar>
            <w:vAlign w:val="center"/>
          </w:tcPr>
          <w:p w14:paraId="2D875AE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26" w:type="dxa"/>
            <w:gridSpan w:val="2"/>
            <w:shd w:val="clear" w:color="auto" w:fill="auto"/>
            <w:tcMar>
              <w:left w:w="108" w:type="dxa"/>
              <w:right w:w="108" w:type="dxa"/>
            </w:tcMar>
            <w:vAlign w:val="center"/>
          </w:tcPr>
          <w:p w14:paraId="1D49B9E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700" w:type="dxa"/>
            <w:shd w:val="clear" w:color="auto" w:fill="auto"/>
            <w:tcMar>
              <w:left w:w="108" w:type="dxa"/>
              <w:right w:w="108" w:type="dxa"/>
            </w:tcMar>
            <w:vAlign w:val="center"/>
          </w:tcPr>
          <w:p w14:paraId="7A0F8E6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default" w:ascii="Times New Roman" w:hAnsi="Times New Roman" w:eastAsia="仿宋_GB2312" w:cs="Times New Roman"/>
                <w:color w:val="FF0000"/>
                <w:szCs w:val="21"/>
                <w:lang w:val="en-US"/>
              </w:rPr>
            </w:pPr>
            <w:r>
              <w:rPr>
                <w:rFonts w:hint="default" w:ascii="Times New Roman" w:hAnsi="Times New Roman" w:eastAsia="仿宋_GB2312" w:cs="Times New Roman"/>
                <w:szCs w:val="21"/>
                <w:lang w:val="en-US" w:eastAsia="zh-CN"/>
              </w:rPr>
              <w:t>0</w:t>
            </w:r>
          </w:p>
        </w:tc>
      </w:tr>
    </w:tbl>
    <w:p w14:paraId="4F58847B">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黑体"/>
          <w:b w:val="0"/>
          <w:bCs/>
          <w:i w:val="0"/>
          <w:caps w:val="0"/>
          <w:color w:val="333333"/>
          <w:spacing w:val="0"/>
          <w:kern w:val="0"/>
          <w:sz w:val="32"/>
          <w:szCs w:val="32"/>
          <w:shd w:val="clear" w:fill="FFFFFF"/>
          <w:lang w:val="en-US" w:eastAsia="zh-CN" w:bidi="ar"/>
        </w:rPr>
      </w:pPr>
    </w:p>
    <w:p w14:paraId="75055454">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黑体"/>
          <w:b w:val="0"/>
          <w:bCs/>
          <w:i w:val="0"/>
          <w:caps w:val="0"/>
          <w:color w:val="333333"/>
          <w:spacing w:val="0"/>
          <w:kern w:val="0"/>
          <w:sz w:val="32"/>
          <w:szCs w:val="32"/>
          <w:shd w:val="clear" w:fill="FFFFFF"/>
          <w:lang w:val="en-US" w:eastAsia="zh-CN" w:bidi="ar"/>
        </w:rPr>
      </w:pPr>
      <w:r>
        <w:rPr>
          <w:rFonts w:hint="eastAsia" w:ascii="Times New Roman" w:hAnsi="Times New Roman"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03E4AE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B31C7D6">
            <w:pPr>
              <w:widowControl/>
              <w:jc w:val="center"/>
              <w:rPr>
                <w:rFonts w:ascii="Times New Roman" w:hAnsi="Times New Roman" w:eastAsia="黑体"/>
              </w:rPr>
            </w:pPr>
            <w:r>
              <w:rPr>
                <w:rFonts w:ascii="Times New Roman" w:hAnsi="Times New Roman"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4098B5D">
            <w:pPr>
              <w:widowControl/>
              <w:jc w:val="center"/>
              <w:rPr>
                <w:rFonts w:ascii="Times New Roman" w:hAnsi="Times New Roman" w:eastAsia="黑体"/>
              </w:rPr>
            </w:pPr>
            <w:r>
              <w:rPr>
                <w:rFonts w:ascii="Times New Roman" w:hAnsi="Times New Roman" w:eastAsia="黑体"/>
                <w:kern w:val="0"/>
                <w:sz w:val="20"/>
                <w:szCs w:val="20"/>
              </w:rPr>
              <w:t>行政诉讼</w:t>
            </w:r>
          </w:p>
        </w:tc>
      </w:tr>
      <w:tr w14:paraId="57B5BCC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FC37FC6">
            <w:pPr>
              <w:widowControl/>
              <w:ind w:left="-149" w:leftChars="-71" w:right="-170" w:rightChars="-81"/>
              <w:jc w:val="center"/>
              <w:rPr>
                <w:rFonts w:ascii="Times New Roman" w:hAnsi="Times New Roman" w:eastAsia="黑体"/>
                <w:kern w:val="0"/>
                <w:sz w:val="20"/>
                <w:szCs w:val="20"/>
              </w:rPr>
            </w:pPr>
            <w:r>
              <w:rPr>
                <w:rFonts w:ascii="Times New Roman" w:hAnsi="Times New Roman" w:eastAsia="黑体"/>
                <w:kern w:val="0"/>
                <w:sz w:val="20"/>
                <w:szCs w:val="20"/>
              </w:rPr>
              <w:t>结果</w:t>
            </w:r>
          </w:p>
          <w:p w14:paraId="7BA0506F">
            <w:pPr>
              <w:widowControl/>
              <w:ind w:left="-149" w:leftChars="-71" w:right="-170" w:rightChars="-81"/>
              <w:jc w:val="center"/>
              <w:rPr>
                <w:rFonts w:ascii="Times New Roman" w:hAnsi="Times New Roman" w:eastAsia="黑体"/>
              </w:rPr>
            </w:pPr>
            <w:r>
              <w:rPr>
                <w:rFonts w:ascii="Times New Roman" w:hAnsi="Times New Roman"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6B54D9D6">
            <w:pPr>
              <w:widowControl/>
              <w:ind w:left="-43" w:leftChars="-21" w:right="-132" w:rightChars="-63" w:hanging="1"/>
              <w:jc w:val="center"/>
              <w:rPr>
                <w:rFonts w:ascii="Times New Roman" w:hAnsi="Times New Roman" w:eastAsia="黑体"/>
              </w:rPr>
            </w:pPr>
            <w:r>
              <w:rPr>
                <w:rFonts w:ascii="Times New Roman" w:hAnsi="Times New Roman"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4203B35">
            <w:pPr>
              <w:widowControl/>
              <w:ind w:left="-82" w:leftChars="-39" w:right="-97" w:rightChars="-46"/>
              <w:jc w:val="center"/>
              <w:rPr>
                <w:rFonts w:ascii="Times New Roman" w:hAnsi="Times New Roman" w:eastAsia="黑体"/>
              </w:rPr>
            </w:pPr>
            <w:r>
              <w:rPr>
                <w:rFonts w:ascii="Times New Roman" w:hAnsi="Times New Roman"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D592106">
            <w:pPr>
              <w:widowControl/>
              <w:ind w:left="-118" w:leftChars="-56" w:right="-118" w:rightChars="-56"/>
              <w:jc w:val="center"/>
              <w:rPr>
                <w:rFonts w:ascii="Times New Roman" w:hAnsi="Times New Roman" w:eastAsia="黑体"/>
                <w:kern w:val="0"/>
                <w:sz w:val="20"/>
                <w:szCs w:val="20"/>
              </w:rPr>
            </w:pPr>
            <w:r>
              <w:rPr>
                <w:rFonts w:ascii="Times New Roman" w:hAnsi="Times New Roman" w:eastAsia="黑体"/>
                <w:kern w:val="0"/>
                <w:sz w:val="20"/>
                <w:szCs w:val="20"/>
              </w:rPr>
              <w:t>尚未</w:t>
            </w:r>
          </w:p>
          <w:p w14:paraId="404591E8">
            <w:pPr>
              <w:widowControl/>
              <w:ind w:left="-118" w:leftChars="-56" w:right="-118" w:rightChars="-56"/>
              <w:jc w:val="center"/>
              <w:rPr>
                <w:rFonts w:ascii="Times New Roman" w:hAnsi="Times New Roman" w:eastAsia="黑体"/>
              </w:rPr>
            </w:pPr>
            <w:r>
              <w:rPr>
                <w:rFonts w:ascii="Times New Roman" w:hAnsi="Times New Roman"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3E80D14">
            <w:pPr>
              <w:widowControl/>
              <w:spacing w:line="320" w:lineRule="exact"/>
              <w:jc w:val="center"/>
              <w:rPr>
                <w:rFonts w:ascii="Times New Roman" w:hAnsi="Times New Roman" w:eastAsia="黑体"/>
                <w:kern w:val="0"/>
                <w:sz w:val="20"/>
                <w:szCs w:val="20"/>
              </w:rPr>
            </w:pPr>
            <w:r>
              <w:rPr>
                <w:rFonts w:ascii="Times New Roman" w:hAnsi="Times New Roman" w:eastAsia="黑体"/>
                <w:kern w:val="0"/>
                <w:sz w:val="20"/>
                <w:szCs w:val="20"/>
              </w:rPr>
              <w:t>总</w:t>
            </w:r>
          </w:p>
          <w:p w14:paraId="7B512F45">
            <w:pPr>
              <w:widowControl/>
              <w:spacing w:line="320" w:lineRule="exact"/>
              <w:jc w:val="center"/>
              <w:rPr>
                <w:rFonts w:ascii="Times New Roman" w:hAnsi="Times New Roman" w:eastAsia="黑体"/>
              </w:rPr>
            </w:pPr>
            <w:r>
              <w:rPr>
                <w:rFonts w:ascii="Times New Roman" w:hAnsi="Times New Roman"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984570A">
            <w:pPr>
              <w:widowControl/>
              <w:jc w:val="center"/>
              <w:rPr>
                <w:rFonts w:ascii="Times New Roman" w:hAnsi="Times New Roman" w:eastAsia="黑体"/>
              </w:rPr>
            </w:pPr>
            <w:r>
              <w:rPr>
                <w:rFonts w:ascii="Times New Roman" w:hAnsi="Times New Roman"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63CBBD5">
            <w:pPr>
              <w:widowControl/>
              <w:jc w:val="center"/>
              <w:rPr>
                <w:rFonts w:ascii="Times New Roman" w:hAnsi="Times New Roman" w:eastAsia="黑体"/>
              </w:rPr>
            </w:pPr>
            <w:bookmarkStart w:id="9" w:name="_Hlk67039688"/>
            <w:r>
              <w:rPr>
                <w:rFonts w:ascii="Times New Roman" w:hAnsi="Times New Roman" w:eastAsia="黑体"/>
                <w:kern w:val="0"/>
                <w:sz w:val="20"/>
                <w:szCs w:val="20"/>
              </w:rPr>
              <w:t>复议后起诉</w:t>
            </w:r>
            <w:bookmarkEnd w:id="9"/>
          </w:p>
        </w:tc>
      </w:tr>
      <w:tr w14:paraId="10752D8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845737E">
            <w:pPr>
              <w:rPr>
                <w:rFonts w:ascii="Times New Roman" w:hAnsi="Times New Roman"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5F1BAEE0">
            <w:pPr>
              <w:rPr>
                <w:rFonts w:ascii="Times New Roman" w:hAnsi="Times New Roman"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A95C5D9">
            <w:pPr>
              <w:rPr>
                <w:rFonts w:ascii="Times New Roman" w:hAnsi="Times New Roman"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5FEE82F">
            <w:pPr>
              <w:rPr>
                <w:rFonts w:ascii="Times New Roman" w:hAnsi="Times New Roman"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7ACE113">
            <w:pPr>
              <w:rPr>
                <w:rFonts w:ascii="Times New Roman" w:hAnsi="Times New Roman"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73CA39D1">
            <w:pPr>
              <w:widowControl/>
              <w:ind w:left="-105" w:leftChars="-50" w:right="-126" w:rightChars="-60"/>
              <w:jc w:val="center"/>
              <w:rPr>
                <w:rFonts w:ascii="Times New Roman" w:hAnsi="Times New Roman" w:eastAsia="黑体"/>
              </w:rPr>
            </w:pPr>
            <w:r>
              <w:rPr>
                <w:rFonts w:ascii="Times New Roman" w:hAnsi="Times New Roman"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3C91541">
            <w:pPr>
              <w:widowControl/>
              <w:ind w:left="-86" w:leftChars="-41" w:right="-88" w:rightChars="-42"/>
              <w:jc w:val="center"/>
              <w:rPr>
                <w:rFonts w:ascii="Times New Roman" w:hAnsi="Times New Roman" w:eastAsia="黑体"/>
              </w:rPr>
            </w:pPr>
            <w:r>
              <w:rPr>
                <w:rFonts w:ascii="Times New Roman" w:hAnsi="Times New Roman"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603F321">
            <w:pPr>
              <w:widowControl/>
              <w:ind w:left="-126" w:leftChars="-60" w:right="-136" w:rightChars="-65"/>
              <w:jc w:val="center"/>
              <w:rPr>
                <w:rFonts w:ascii="Times New Roman" w:hAnsi="Times New Roman" w:eastAsia="黑体"/>
                <w:kern w:val="0"/>
                <w:sz w:val="20"/>
                <w:szCs w:val="20"/>
              </w:rPr>
            </w:pPr>
            <w:r>
              <w:rPr>
                <w:rFonts w:ascii="Times New Roman" w:hAnsi="Times New Roman" w:eastAsia="黑体"/>
                <w:kern w:val="0"/>
                <w:sz w:val="20"/>
                <w:szCs w:val="20"/>
              </w:rPr>
              <w:t>其他</w:t>
            </w:r>
          </w:p>
          <w:p w14:paraId="0E4AA567">
            <w:pPr>
              <w:widowControl/>
              <w:ind w:left="-126" w:leftChars="-60" w:right="-136" w:rightChars="-65"/>
              <w:jc w:val="center"/>
              <w:rPr>
                <w:rFonts w:ascii="Times New Roman" w:hAnsi="Times New Roman" w:eastAsia="黑体"/>
              </w:rPr>
            </w:pPr>
            <w:r>
              <w:rPr>
                <w:rFonts w:ascii="Times New Roman" w:hAnsi="Times New Roman"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44D36E5">
            <w:pPr>
              <w:widowControl/>
              <w:ind w:left="-164" w:leftChars="-78" w:right="-153" w:rightChars="-73"/>
              <w:jc w:val="center"/>
              <w:rPr>
                <w:rFonts w:ascii="Times New Roman" w:hAnsi="Times New Roman" w:eastAsia="黑体"/>
                <w:kern w:val="0"/>
                <w:sz w:val="20"/>
                <w:szCs w:val="20"/>
              </w:rPr>
            </w:pPr>
            <w:r>
              <w:rPr>
                <w:rFonts w:ascii="Times New Roman" w:hAnsi="Times New Roman" w:eastAsia="黑体"/>
                <w:kern w:val="0"/>
                <w:sz w:val="20"/>
                <w:szCs w:val="20"/>
              </w:rPr>
              <w:t>尚未</w:t>
            </w:r>
          </w:p>
          <w:p w14:paraId="324E0210">
            <w:pPr>
              <w:widowControl/>
              <w:ind w:left="-164" w:leftChars="-78" w:right="-153" w:rightChars="-73"/>
              <w:jc w:val="center"/>
              <w:rPr>
                <w:rFonts w:ascii="Times New Roman" w:hAnsi="Times New Roman" w:eastAsia="黑体"/>
              </w:rPr>
            </w:pPr>
            <w:r>
              <w:rPr>
                <w:rFonts w:ascii="Times New Roman" w:hAnsi="Times New Roman"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FA49B87">
            <w:pPr>
              <w:widowControl/>
              <w:jc w:val="center"/>
              <w:rPr>
                <w:rFonts w:ascii="Times New Roman" w:hAnsi="Times New Roman" w:eastAsia="黑体"/>
              </w:rPr>
            </w:pPr>
            <w:r>
              <w:rPr>
                <w:rFonts w:ascii="Times New Roman" w:hAnsi="Times New Roman"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D15FC13">
            <w:pPr>
              <w:widowControl/>
              <w:ind w:left="-99" w:leftChars="-47" w:right="-78" w:rightChars="-37"/>
              <w:jc w:val="center"/>
              <w:rPr>
                <w:rFonts w:ascii="Times New Roman" w:hAnsi="Times New Roman" w:eastAsia="黑体"/>
              </w:rPr>
            </w:pPr>
            <w:r>
              <w:rPr>
                <w:rFonts w:ascii="Times New Roman" w:hAnsi="Times New Roman"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B1E9D4E">
            <w:pPr>
              <w:widowControl/>
              <w:ind w:left="-136" w:leftChars="-65" w:right="-124" w:rightChars="-59"/>
              <w:jc w:val="center"/>
              <w:rPr>
                <w:rFonts w:ascii="Times New Roman" w:hAnsi="Times New Roman" w:eastAsia="黑体"/>
                <w:kern w:val="0"/>
                <w:sz w:val="20"/>
                <w:szCs w:val="20"/>
              </w:rPr>
            </w:pPr>
            <w:r>
              <w:rPr>
                <w:rFonts w:ascii="Times New Roman" w:hAnsi="Times New Roman" w:eastAsia="黑体"/>
                <w:kern w:val="0"/>
                <w:sz w:val="20"/>
                <w:szCs w:val="20"/>
              </w:rPr>
              <w:t>结果</w:t>
            </w:r>
          </w:p>
          <w:p w14:paraId="14B5462D">
            <w:pPr>
              <w:widowControl/>
              <w:ind w:left="-136" w:leftChars="-65" w:right="-124" w:rightChars="-59"/>
              <w:jc w:val="center"/>
              <w:rPr>
                <w:rFonts w:ascii="Times New Roman" w:hAnsi="Times New Roman" w:eastAsia="黑体"/>
              </w:rPr>
            </w:pPr>
            <w:r>
              <w:rPr>
                <w:rFonts w:ascii="Times New Roman" w:hAnsi="Times New Roman"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8D15CF9">
            <w:pPr>
              <w:widowControl/>
              <w:ind w:left="-173" w:leftChars="-83" w:right="-134" w:rightChars="-64" w:hanging="1"/>
              <w:jc w:val="center"/>
              <w:rPr>
                <w:rFonts w:ascii="Times New Roman" w:hAnsi="Times New Roman" w:eastAsia="黑体"/>
                <w:kern w:val="0"/>
                <w:sz w:val="20"/>
                <w:szCs w:val="20"/>
              </w:rPr>
            </w:pPr>
            <w:r>
              <w:rPr>
                <w:rFonts w:ascii="Times New Roman" w:hAnsi="Times New Roman" w:eastAsia="黑体"/>
                <w:kern w:val="0"/>
                <w:sz w:val="20"/>
                <w:szCs w:val="20"/>
              </w:rPr>
              <w:t>其他</w:t>
            </w:r>
          </w:p>
          <w:p w14:paraId="19068BA3">
            <w:pPr>
              <w:widowControl/>
              <w:ind w:left="-173" w:leftChars="-83" w:right="-134" w:rightChars="-64" w:hanging="1"/>
              <w:jc w:val="center"/>
              <w:rPr>
                <w:rFonts w:ascii="Times New Roman" w:hAnsi="Times New Roman" w:eastAsia="黑体"/>
              </w:rPr>
            </w:pPr>
            <w:r>
              <w:rPr>
                <w:rFonts w:ascii="Times New Roman" w:hAnsi="Times New Roman"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3CE6729">
            <w:pPr>
              <w:widowControl/>
              <w:ind w:left="-67" w:leftChars="-33" w:right="-105" w:rightChars="-50" w:hanging="2" w:hangingChars="1"/>
              <w:jc w:val="center"/>
              <w:rPr>
                <w:rFonts w:ascii="Times New Roman" w:hAnsi="Times New Roman" w:eastAsia="黑体"/>
              </w:rPr>
            </w:pPr>
            <w:r>
              <w:rPr>
                <w:rFonts w:ascii="Times New Roman" w:hAnsi="Times New Roman"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0D7102F">
            <w:pPr>
              <w:widowControl/>
              <w:jc w:val="center"/>
              <w:rPr>
                <w:rFonts w:ascii="Times New Roman" w:hAnsi="Times New Roman" w:eastAsia="黑体"/>
              </w:rPr>
            </w:pPr>
            <w:r>
              <w:rPr>
                <w:rFonts w:ascii="Times New Roman" w:hAnsi="Times New Roman" w:eastAsia="黑体"/>
                <w:kern w:val="0"/>
                <w:sz w:val="20"/>
                <w:szCs w:val="20"/>
              </w:rPr>
              <w:t>总计</w:t>
            </w:r>
          </w:p>
        </w:tc>
      </w:tr>
      <w:tr w14:paraId="556EB6D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4CD0DB3">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B8D984A">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5DA3D9A7">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3FA08B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18E0A14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6BFA56AF">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12C9F43">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EC37EB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521B1A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4A63751">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5CDF21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B0F823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19459362">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72B082D4">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332D39E9">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r>
    </w:tbl>
    <w:p w14:paraId="16BB843B">
      <w:pPr>
        <w:widowControl/>
        <w:jc w:val="left"/>
        <w:rPr>
          <w:rFonts w:hint="eastAsia" w:ascii="Times New Roman" w:hAnsi="Times New Roman" w:eastAsia="仿宋_GB2312" w:cs="Calibri"/>
          <w:color w:val="FF0000"/>
          <w:kern w:val="0"/>
          <w:szCs w:val="21"/>
          <w:lang w:val="en-US" w:eastAsia="zh-CN"/>
        </w:rPr>
      </w:pPr>
    </w:p>
    <w:p w14:paraId="386B7ED2">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333333"/>
          <w:spacing w:val="0"/>
          <w:kern w:val="0"/>
          <w:sz w:val="32"/>
          <w:szCs w:val="32"/>
          <w:shd w:val="clear" w:fill="FFFFFF"/>
          <w:lang w:val="en-US" w:eastAsia="zh-CN" w:bidi="ar"/>
        </w:rPr>
      </w:pPr>
      <w:r>
        <w:rPr>
          <w:rFonts w:hint="eastAsia" w:ascii="Times New Roman" w:hAnsi="Times New Roman" w:eastAsia="黑体" w:cs="黑体"/>
          <w:b w:val="0"/>
          <w:bCs/>
          <w:i w:val="0"/>
          <w:caps w:val="0"/>
          <w:color w:val="333333"/>
          <w:spacing w:val="0"/>
          <w:kern w:val="0"/>
          <w:sz w:val="32"/>
          <w:szCs w:val="32"/>
          <w:shd w:val="clear" w:fill="FFFFFF"/>
          <w:lang w:val="en-US" w:eastAsia="zh-CN" w:bidi="ar"/>
        </w:rPr>
        <w:t>存在的主要问题及改进情况</w:t>
      </w:r>
    </w:p>
    <w:p w14:paraId="1F20386A">
      <w:pPr>
        <w:pStyle w:val="4"/>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eastAsia" w:ascii="Times New Roman" w:hAnsi="Times New Roman" w:eastAsia="仿宋_GB2312" w:cs="Times New Roman"/>
          <w:b w:val="0"/>
          <w:bCs/>
          <w:color w:val="auto"/>
          <w:kern w:val="2"/>
          <w:sz w:val="32"/>
          <w:szCs w:val="32"/>
          <w:lang w:val="en-US" w:eastAsia="zh-CN" w:bidi="ar-SA"/>
        </w:rPr>
      </w:pPr>
      <w:r>
        <w:rPr>
          <w:rFonts w:hint="default" w:ascii="Times New Roman" w:hAnsi="Times New Roman" w:cs="Times New Roman"/>
          <w:sz w:val="32"/>
          <w:szCs w:val="32"/>
        </w:rPr>
        <w:t>20</w:t>
      </w:r>
      <w:r>
        <w:rPr>
          <w:rFonts w:hint="default" w:ascii="Times New Roman" w:hAnsi="Times New Roman" w:eastAsia="仿宋_GB2312" w:cs="Times New Roman"/>
          <w:b w:val="0"/>
          <w:bCs/>
          <w:color w:val="auto"/>
          <w:kern w:val="2"/>
          <w:sz w:val="32"/>
          <w:szCs w:val="32"/>
          <w:lang w:val="en-US" w:eastAsia="zh-CN" w:bidi="ar-SA"/>
        </w:rPr>
        <w:t>25</w:t>
      </w:r>
      <w:r>
        <w:rPr>
          <w:rFonts w:hint="eastAsia" w:ascii="Times New Roman" w:hAnsi="Times New Roman" w:eastAsia="仿宋_GB2312" w:cs="Times New Roman"/>
          <w:b w:val="0"/>
          <w:bCs/>
          <w:color w:val="auto"/>
          <w:kern w:val="2"/>
          <w:sz w:val="32"/>
          <w:szCs w:val="32"/>
          <w:lang w:val="en-US" w:eastAsia="zh-CN" w:bidi="ar-SA"/>
        </w:rPr>
        <w:t>年，对照国家、省、市关于政务公开工作各项部署要求，还存在一些问题和不足：</w:t>
      </w:r>
    </w:p>
    <w:p w14:paraId="4EF55CC6">
      <w:pPr>
        <w:pStyle w:val="4"/>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楷体_GB2312" w:cs="楷体_GB2312"/>
          <w:b w:val="0"/>
          <w:bCs/>
          <w:color w:val="auto"/>
          <w:kern w:val="2"/>
          <w:sz w:val="32"/>
          <w:szCs w:val="32"/>
          <w:lang w:val="en-US" w:eastAsia="zh-CN" w:bidi="ar-SA"/>
        </w:rPr>
        <w:t>（一）存在问题。</w:t>
      </w:r>
      <w:r>
        <w:rPr>
          <w:rFonts w:hint="eastAsia" w:ascii="Times New Roman" w:hAnsi="Times New Roman" w:eastAsia="仿宋_GB2312" w:cs="Times New Roman"/>
          <w:b w:val="0"/>
          <w:bCs/>
          <w:color w:val="auto"/>
          <w:kern w:val="2"/>
          <w:sz w:val="32"/>
          <w:szCs w:val="32"/>
          <w:lang w:val="en-US" w:eastAsia="zh-CN" w:bidi="ar-SA"/>
        </w:rPr>
        <w:t>一是公开内容的深度和精准度有待加强。部分公开信息仍以常规性、程序性内容为主，对重点领域的信息公开不够深入。二是政务公开标准化、规范化水平需提升。信息发布、审核等环节的工作流程和规范有待进一步细化，政务公开的更新维护和动态管理需加强，确保公开内容的准确性和时效性。</w:t>
      </w:r>
    </w:p>
    <w:p w14:paraId="3BF597FF">
      <w:pPr>
        <w:pStyle w:val="4"/>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楷体_GB2312" w:cs="楷体_GB2312"/>
          <w:b w:val="0"/>
          <w:bCs/>
          <w:color w:val="auto"/>
          <w:kern w:val="2"/>
          <w:sz w:val="32"/>
          <w:szCs w:val="32"/>
          <w:lang w:val="en-US" w:eastAsia="zh-CN" w:bidi="ar-SA"/>
        </w:rPr>
        <w:t>（二）改进措施。</w:t>
      </w:r>
      <w:r>
        <w:rPr>
          <w:rFonts w:hint="eastAsia" w:ascii="Times New Roman" w:hAnsi="Times New Roman" w:eastAsia="仿宋_GB2312" w:cs="Times New Roman"/>
          <w:b w:val="0"/>
          <w:bCs/>
          <w:color w:val="auto"/>
          <w:kern w:val="2"/>
          <w:sz w:val="32"/>
          <w:szCs w:val="32"/>
          <w:lang w:val="en-US" w:eastAsia="zh-CN" w:bidi="ar-SA"/>
        </w:rPr>
        <w:t>一是深化重点领域公开，提升内容供给质量。定期分析研判群众关注热点和办事难点，围绕优化营商环境、乡村振兴、民生保障等领域，动态拓展和深化公开内容，提供更多“干货”。二是推进标准规范建设，促进公开工作规范化运行。健全信息发布、平台管理等方面的操作规范，确保各环节有章可循、有序运行。同时，实行动态更新和定期维护，确保与实际工作同步，提升信息发布的实效性和准确性。</w:t>
      </w:r>
    </w:p>
    <w:p w14:paraId="23F2E57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Chars="200" w:right="0" w:rightChars="0"/>
        <w:jc w:val="both"/>
        <w:textAlignment w:val="auto"/>
        <w:rPr>
          <w:rFonts w:hint="eastAsia" w:ascii="Times New Roman" w:hAnsi="Times New Roman" w:eastAsia="黑体" w:cs="黑体"/>
          <w:b w:val="0"/>
          <w:bCs/>
          <w:i w:val="0"/>
          <w:caps w:val="0"/>
          <w:color w:val="333333"/>
          <w:spacing w:val="0"/>
          <w:kern w:val="0"/>
          <w:sz w:val="32"/>
          <w:szCs w:val="32"/>
          <w:shd w:val="clear" w:fill="FFFFFF"/>
          <w:lang w:val="en-US" w:eastAsia="zh-CN" w:bidi="ar"/>
        </w:rPr>
      </w:pPr>
    </w:p>
    <w:p w14:paraId="6690C4E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黑体" w:cs="黑体"/>
          <w:b w:val="0"/>
          <w:bCs/>
          <w:i w:val="0"/>
          <w:caps w:val="0"/>
          <w:color w:val="333333"/>
          <w:spacing w:val="0"/>
          <w:kern w:val="0"/>
          <w:sz w:val="32"/>
          <w:szCs w:val="32"/>
          <w:shd w:val="clear" w:fill="FFFFFF"/>
          <w:lang w:val="en-US" w:eastAsia="zh-CN" w:bidi="ar"/>
        </w:rPr>
      </w:pPr>
      <w:r>
        <w:rPr>
          <w:rFonts w:hint="eastAsia" w:ascii="Times New Roman" w:hAnsi="Times New Roman" w:eastAsia="黑体" w:cs="黑体"/>
          <w:b w:val="0"/>
          <w:bCs/>
          <w:i w:val="0"/>
          <w:caps w:val="0"/>
          <w:color w:val="333333"/>
          <w:spacing w:val="0"/>
          <w:kern w:val="0"/>
          <w:sz w:val="32"/>
          <w:szCs w:val="32"/>
          <w:shd w:val="clear" w:fill="FFFFFF"/>
          <w:lang w:val="en-US" w:eastAsia="zh-CN" w:bidi="ar"/>
        </w:rPr>
        <w:t>六、其他需要报告的事项</w:t>
      </w:r>
    </w:p>
    <w:p w14:paraId="1353C09C">
      <w:pPr>
        <w:pStyle w:val="4"/>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楷体_GB2312" w:cs="Times New Roman"/>
          <w:sz w:val="32"/>
          <w:szCs w:val="32"/>
          <w:lang w:val="en-US" w:eastAsia="zh-CN"/>
        </w:rPr>
        <w:t>（一）</w:t>
      </w:r>
      <w:r>
        <w:rPr>
          <w:rFonts w:hint="default" w:ascii="Times New Roman" w:hAnsi="Times New Roman" w:eastAsia="楷体_GB2312" w:cs="Times New Roman"/>
          <w:sz w:val="32"/>
          <w:szCs w:val="32"/>
        </w:rPr>
        <w:t>政府信息公开收费</w:t>
      </w:r>
      <w:r>
        <w:rPr>
          <w:rFonts w:hint="eastAsia" w:ascii="Times New Roman" w:hAnsi="Times New Roman" w:eastAsia="楷体_GB2312" w:cs="Times New Roman"/>
          <w:sz w:val="32"/>
          <w:szCs w:val="32"/>
          <w:lang w:val="en-US" w:eastAsia="zh-CN"/>
        </w:rPr>
        <w:t>情况</w:t>
      </w:r>
      <w:r>
        <w:rPr>
          <w:rFonts w:hint="default" w:ascii="Times New Roman" w:hAnsi="Times New Roman" w:eastAsia="楷体_GB2312" w:cs="Times New Roman"/>
          <w:sz w:val="32"/>
          <w:szCs w:val="32"/>
        </w:rPr>
        <w:t>：</w:t>
      </w:r>
      <w:r>
        <w:rPr>
          <w:rFonts w:hint="default" w:ascii="Times New Roman" w:hAnsi="Times New Roman" w:cs="Times New Roman"/>
          <w:sz w:val="32"/>
          <w:szCs w:val="32"/>
        </w:rPr>
        <w:t>202</w:t>
      </w:r>
      <w:r>
        <w:rPr>
          <w:rFonts w:hint="eastAsia" w:ascii="Times New Roman" w:hAnsi="Times New Roman" w:cs="Times New Roman"/>
          <w:sz w:val="32"/>
          <w:szCs w:val="32"/>
          <w:lang w:val="en-US" w:eastAsia="zh-CN"/>
        </w:rPr>
        <w:t>5</w:t>
      </w:r>
      <w:r>
        <w:rPr>
          <w:rFonts w:hint="default" w:ascii="Times New Roman" w:hAnsi="Times New Roman" w:eastAsia="仿宋_GB2312" w:cs="Times New Roman"/>
          <w:b w:val="0"/>
          <w:bCs/>
          <w:color w:val="auto"/>
          <w:kern w:val="2"/>
          <w:sz w:val="32"/>
          <w:szCs w:val="32"/>
          <w:lang w:val="en-US" w:eastAsia="zh-CN" w:bidi="ar-SA"/>
        </w:rPr>
        <w:t>年威海临港经济技术开发区草庙子镇人民政府未收取政府信息公开信息处理费。</w:t>
      </w:r>
    </w:p>
    <w:p w14:paraId="158E78A0">
      <w:pPr>
        <w:pStyle w:val="4"/>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楷体_GB2312" w:cs="Times New Roman"/>
          <w:sz w:val="32"/>
          <w:szCs w:val="32"/>
          <w:highlight w:val="none"/>
          <w:lang w:val="en-US" w:eastAsia="zh-CN"/>
        </w:rPr>
        <w:t>（二）办理</w:t>
      </w:r>
      <w:r>
        <w:rPr>
          <w:rFonts w:hint="default" w:ascii="Times New Roman" w:hAnsi="Times New Roman" w:eastAsia="楷体_GB2312" w:cs="Times New Roman"/>
          <w:sz w:val="32"/>
          <w:szCs w:val="32"/>
          <w:highlight w:val="none"/>
        </w:rPr>
        <w:t>人大代表</w:t>
      </w:r>
      <w:r>
        <w:rPr>
          <w:rFonts w:hint="eastAsia" w:ascii="Times New Roman" w:hAnsi="Times New Roman" w:eastAsia="楷体_GB2312" w:cs="Times New Roman"/>
          <w:sz w:val="32"/>
          <w:szCs w:val="32"/>
          <w:highlight w:val="none"/>
          <w:lang w:val="en-US" w:eastAsia="zh-CN"/>
        </w:rPr>
        <w:t>建议</w:t>
      </w:r>
      <w:r>
        <w:rPr>
          <w:rFonts w:hint="default" w:ascii="Times New Roman" w:hAnsi="Times New Roman" w:eastAsia="楷体_GB2312" w:cs="Times New Roman"/>
          <w:sz w:val="32"/>
          <w:szCs w:val="32"/>
          <w:highlight w:val="none"/>
        </w:rPr>
        <w:t>、政协委员提案办理方面：</w:t>
      </w:r>
      <w:r>
        <w:rPr>
          <w:rFonts w:hint="default" w:ascii="Times New Roman" w:hAnsi="Times New Roman" w:eastAsia="仿宋_GB2312" w:cs="Times New Roman"/>
          <w:sz w:val="32"/>
          <w:szCs w:val="32"/>
          <w:highlight w:val="none"/>
        </w:rPr>
        <w:t>202</w:t>
      </w:r>
      <w:r>
        <w:rPr>
          <w:rFonts w:hint="eastAsia"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rPr>
        <w:t>年草庙子镇</w:t>
      </w:r>
      <w:r>
        <w:rPr>
          <w:rFonts w:hint="default" w:ascii="Times New Roman" w:hAnsi="Times New Roman" w:eastAsia="仿宋_GB2312" w:cs="Times New Roman"/>
          <w:sz w:val="32"/>
          <w:szCs w:val="32"/>
          <w:highlight w:val="none"/>
          <w:lang w:eastAsia="zh-CN"/>
        </w:rPr>
        <w:t>人民政府</w:t>
      </w:r>
      <w:r>
        <w:rPr>
          <w:rFonts w:hint="default" w:ascii="Times New Roman" w:hAnsi="Times New Roman" w:eastAsia="仿宋_GB2312" w:cs="Times New Roman"/>
          <w:sz w:val="32"/>
          <w:szCs w:val="32"/>
          <w:highlight w:val="none"/>
        </w:rPr>
        <w:t>未承办人大代表建议和政协委员</w:t>
      </w:r>
      <w:r>
        <w:rPr>
          <w:rFonts w:hint="eastAsia" w:ascii="Times New Roman" w:hAnsi="Times New Roman" w:eastAsia="仿宋_GB2312" w:cs="Times New Roman"/>
          <w:sz w:val="32"/>
          <w:szCs w:val="32"/>
          <w:highlight w:val="none"/>
          <w:lang w:val="en-US" w:eastAsia="zh-CN"/>
        </w:rPr>
        <w:t>提案。</w:t>
      </w:r>
    </w:p>
    <w:p w14:paraId="31DA1D06">
      <w:pPr>
        <w:pStyle w:val="4"/>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right="0" w:rightChars="0" w:firstLine="640" w:firstLineChars="200"/>
        <w:jc w:val="both"/>
        <w:textAlignment w:val="auto"/>
        <w:rPr>
          <w:rFonts w:hint="eastAsia" w:ascii="Times New Roman" w:hAnsi="Times New Roman" w:eastAsia="仿宋_GB2312" w:cs="仿宋_GB2312"/>
          <w:sz w:val="32"/>
          <w:szCs w:val="32"/>
          <w:highlight w:val="none"/>
          <w:lang w:val="en-US" w:eastAsia="zh-CN"/>
        </w:rPr>
      </w:pPr>
      <w:r>
        <w:rPr>
          <w:rFonts w:hint="eastAsia" w:ascii="Times New Roman" w:hAnsi="Times New Roman" w:eastAsia="楷体_GB2312" w:cs="Times New Roman"/>
          <w:sz w:val="32"/>
          <w:szCs w:val="32"/>
          <w:highlight w:val="none"/>
          <w:lang w:val="en-US" w:eastAsia="zh-CN"/>
        </w:rPr>
        <w:t>（三）政务公开工作要点落实情况：</w:t>
      </w:r>
      <w:r>
        <w:rPr>
          <w:rFonts w:hint="eastAsia" w:ascii="Times New Roman" w:hAnsi="Times New Roman" w:eastAsia="仿宋_GB2312" w:cs="仿宋_GB2312"/>
          <w:sz w:val="32"/>
          <w:szCs w:val="32"/>
          <w:highlight w:val="none"/>
          <w:lang w:val="en-US" w:eastAsia="zh-CN"/>
        </w:rPr>
        <w:t>本年度在落实上级政务公开工作要点方面，我镇严格对照年度工作部署与具体要求，结合实际细化任务清单，明确责任分工，通过专题部署、定期培训与强化督导，将各项要点纳入日常管理与考核评估，确保上级精神与要求贯穿于政务公开全过程。</w:t>
      </w:r>
    </w:p>
    <w:p w14:paraId="020DAA0E">
      <w:pPr>
        <w:pStyle w:val="4"/>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right="0" w:rightChars="0" w:firstLine="640" w:firstLineChars="200"/>
        <w:jc w:val="both"/>
        <w:textAlignment w:val="auto"/>
        <w:rPr>
          <w:rFonts w:hint="default" w:ascii="Times New Roman" w:hAnsi="Times New Roman" w:eastAsia="仿宋_GB2312" w:cs="仿宋_GB2312"/>
          <w:sz w:val="32"/>
          <w:szCs w:val="32"/>
          <w:highlight w:val="none"/>
          <w:lang w:val="en-US" w:eastAsia="zh-CN"/>
        </w:rPr>
      </w:pPr>
      <w:r>
        <w:rPr>
          <w:rFonts w:hint="eastAsia" w:ascii="Times New Roman" w:hAnsi="Times New Roman" w:eastAsia="楷体_GB2312" w:cs="Times New Roman"/>
          <w:sz w:val="32"/>
          <w:szCs w:val="32"/>
          <w:highlight w:val="none"/>
          <w:lang w:val="en-US" w:eastAsia="zh-CN"/>
        </w:rPr>
        <w:t>（四）创新工作开展情况：</w:t>
      </w:r>
      <w:r>
        <w:rPr>
          <w:rFonts w:hint="eastAsia" w:ascii="Times New Roman" w:hAnsi="Times New Roman" w:eastAsia="仿宋_GB2312" w:cs="仿宋_GB2312"/>
          <w:sz w:val="32"/>
          <w:szCs w:val="32"/>
          <w:highlight w:val="none"/>
          <w:lang w:val="en-US" w:eastAsia="zh-CN"/>
        </w:rPr>
        <w:t>本年度，草庙子镇人民政府利用“干部</w:t>
      </w:r>
      <w:r>
        <w:rPr>
          <w:rFonts w:hint="default" w:ascii="Times New Roman" w:hAnsi="Times New Roman" w:eastAsia="仿宋_GB2312" w:cs="仿宋_GB2312"/>
          <w:sz w:val="32"/>
          <w:szCs w:val="32"/>
          <w:highlight w:val="none"/>
          <w:lang w:val="en-US" w:eastAsia="zh-CN"/>
        </w:rPr>
        <w:t>‘知’</w:t>
      </w:r>
      <w:r>
        <w:rPr>
          <w:rFonts w:hint="eastAsia" w:ascii="Times New Roman" w:hAnsi="Times New Roman" w:eastAsia="仿宋_GB2312" w:cs="仿宋_GB2312"/>
          <w:sz w:val="32"/>
          <w:szCs w:val="32"/>
          <w:highlight w:val="none"/>
          <w:lang w:val="en-US" w:eastAsia="zh-CN"/>
        </w:rPr>
        <w:t>播间”等相关活动赋能干部的政务公开水平，拓宽干部工作思路和方式方法，便于大家更好地开展联系服务群众工作。</w:t>
      </w:r>
      <w:r>
        <w:rPr>
          <w:rFonts w:hint="default" w:ascii="Times New Roman" w:hAnsi="Times New Roman" w:eastAsia="仿宋_GB2312" w:cs="仿宋_GB2312"/>
          <w:sz w:val="32"/>
          <w:szCs w:val="32"/>
          <w:highlight w:val="none"/>
          <w:lang w:val="en-US" w:eastAsia="zh-CN"/>
        </w:rPr>
        <w:t>下一步，草庙子镇将继续</w:t>
      </w:r>
      <w:r>
        <w:rPr>
          <w:rFonts w:hint="eastAsia" w:ascii="Times New Roman" w:hAnsi="Times New Roman" w:eastAsia="仿宋_GB2312" w:cs="仿宋_GB2312"/>
          <w:sz w:val="32"/>
          <w:szCs w:val="32"/>
          <w:highlight w:val="none"/>
          <w:lang w:val="en-US" w:eastAsia="zh-CN"/>
        </w:rPr>
        <w:t>丰富活动形式</w:t>
      </w:r>
      <w:r>
        <w:rPr>
          <w:rFonts w:hint="default" w:ascii="Times New Roman" w:hAnsi="Times New Roman" w:eastAsia="仿宋_GB2312" w:cs="仿宋_GB2312"/>
          <w:sz w:val="32"/>
          <w:szCs w:val="32"/>
          <w:highlight w:val="none"/>
          <w:lang w:val="en-US" w:eastAsia="zh-CN"/>
        </w:rPr>
        <w:t>，推动</w:t>
      </w:r>
      <w:r>
        <w:rPr>
          <w:rFonts w:hint="eastAsia" w:ascii="Times New Roman" w:hAnsi="Times New Roman" w:eastAsia="仿宋_GB2312" w:cs="仿宋_GB2312"/>
          <w:sz w:val="32"/>
          <w:szCs w:val="32"/>
          <w:highlight w:val="none"/>
          <w:lang w:val="en-US" w:eastAsia="zh-CN"/>
        </w:rPr>
        <w:t>公共</w:t>
      </w:r>
      <w:r>
        <w:rPr>
          <w:rFonts w:hint="default" w:ascii="Times New Roman" w:hAnsi="Times New Roman" w:eastAsia="仿宋_GB2312" w:cs="仿宋_GB2312"/>
          <w:sz w:val="32"/>
          <w:szCs w:val="32"/>
          <w:highlight w:val="none"/>
          <w:lang w:val="en-US" w:eastAsia="zh-CN"/>
        </w:rPr>
        <w:t>服务过程透明化、治理能力专业化，进一步畅通政民互动渠道，以公开促落实、以透明促提升，不断增强人民群众的获得感与满意度。</w:t>
      </w:r>
    </w:p>
    <w:p w14:paraId="1DA64142">
      <w:pPr>
        <w:pStyle w:val="4"/>
        <w:keepNext w:val="0"/>
        <w:keepLines w:val="0"/>
        <w:widowControl/>
        <w:suppressLineNumbers w:val="0"/>
        <w:spacing w:before="0" w:beforeAutospacing="0" w:after="0" w:afterAutospacing="0" w:line="420" w:lineRule="atLeast"/>
        <w:ind w:left="0" w:right="0" w:firstLine="420"/>
        <w:jc w:val="left"/>
        <w:rPr>
          <w:rFonts w:hint="default" w:ascii="Times New Roman" w:hAnsi="Times New Roman" w:eastAsia="仿宋_GB2312" w:cs="仿宋_GB2312"/>
          <w:sz w:val="32"/>
          <w:szCs w:val="32"/>
          <w:highlight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D12B6A2-799A-4F11-9A4C-D0410F39CBF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D030A399-5171-4A96-BF31-08C7B627717A}"/>
  </w:font>
  <w:font w:name="方正小标宋_GBK">
    <w:panose1 w:val="02000000000000000000"/>
    <w:charset w:val="86"/>
    <w:family w:val="auto"/>
    <w:pitch w:val="default"/>
    <w:sig w:usb0="A00002BF" w:usb1="38CF7CFA" w:usb2="00082016" w:usb3="00000000" w:csb0="00040001" w:csb1="00000000"/>
    <w:embedRegular r:id="rId3" w:fontKey="{E6B59BA7-7A3D-4258-A4AA-E914480C3C79}"/>
  </w:font>
  <w:font w:name="仿宋_GB2312">
    <w:panose1 w:val="02010609030101010101"/>
    <w:charset w:val="86"/>
    <w:family w:val="auto"/>
    <w:pitch w:val="default"/>
    <w:sig w:usb0="00000001" w:usb1="080E0000" w:usb2="00000000" w:usb3="00000000" w:csb0="00040000" w:csb1="00000000"/>
    <w:embedRegular r:id="rId4" w:fontKey="{50AEB11E-0C53-4626-9752-37D132E798C2}"/>
  </w:font>
  <w:font w:name="楷体_GB2312">
    <w:panose1 w:val="02010609030101010101"/>
    <w:charset w:val="86"/>
    <w:family w:val="auto"/>
    <w:pitch w:val="default"/>
    <w:sig w:usb0="00000001" w:usb1="080E0000" w:usb2="00000000" w:usb3="00000000" w:csb0="00040000" w:csb1="00000000"/>
    <w:embedRegular r:id="rId5" w:fontKey="{19979B85-3533-4ADD-9CAE-1E5C6B4E845F}"/>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AF18C8"/>
    <w:rsid w:val="001C048E"/>
    <w:rsid w:val="00F22F9D"/>
    <w:rsid w:val="01FB2325"/>
    <w:rsid w:val="03A34A22"/>
    <w:rsid w:val="04AE6F24"/>
    <w:rsid w:val="04AF2858"/>
    <w:rsid w:val="04F70794"/>
    <w:rsid w:val="05B22CEC"/>
    <w:rsid w:val="0600615C"/>
    <w:rsid w:val="07097292"/>
    <w:rsid w:val="085F360E"/>
    <w:rsid w:val="08D157AC"/>
    <w:rsid w:val="093525C0"/>
    <w:rsid w:val="098D5F59"/>
    <w:rsid w:val="0B996E37"/>
    <w:rsid w:val="0D0E01E4"/>
    <w:rsid w:val="0E835B7C"/>
    <w:rsid w:val="0FEC2E6F"/>
    <w:rsid w:val="11AF18C8"/>
    <w:rsid w:val="126E269F"/>
    <w:rsid w:val="138E6CAC"/>
    <w:rsid w:val="14966580"/>
    <w:rsid w:val="151B110E"/>
    <w:rsid w:val="15C076B6"/>
    <w:rsid w:val="15E62AFE"/>
    <w:rsid w:val="160D07D9"/>
    <w:rsid w:val="17604AD5"/>
    <w:rsid w:val="17792AAB"/>
    <w:rsid w:val="17C70888"/>
    <w:rsid w:val="17CF598E"/>
    <w:rsid w:val="189A2440"/>
    <w:rsid w:val="18AC5CCF"/>
    <w:rsid w:val="197677F1"/>
    <w:rsid w:val="1A307F0A"/>
    <w:rsid w:val="1A6A77C7"/>
    <w:rsid w:val="1B847821"/>
    <w:rsid w:val="1C1D316C"/>
    <w:rsid w:val="1DCE481E"/>
    <w:rsid w:val="1E8E04E1"/>
    <w:rsid w:val="1ED85A70"/>
    <w:rsid w:val="210E39CB"/>
    <w:rsid w:val="211B1C44"/>
    <w:rsid w:val="219F0AC7"/>
    <w:rsid w:val="21E9640B"/>
    <w:rsid w:val="226D64CF"/>
    <w:rsid w:val="23434BE1"/>
    <w:rsid w:val="26137BB7"/>
    <w:rsid w:val="27985D9D"/>
    <w:rsid w:val="27E17743"/>
    <w:rsid w:val="28620159"/>
    <w:rsid w:val="2B5B15BB"/>
    <w:rsid w:val="2BC74EA2"/>
    <w:rsid w:val="2C016606"/>
    <w:rsid w:val="2C923388"/>
    <w:rsid w:val="317E22AD"/>
    <w:rsid w:val="324F79A0"/>
    <w:rsid w:val="335B05D1"/>
    <w:rsid w:val="35C30A55"/>
    <w:rsid w:val="36301896"/>
    <w:rsid w:val="36FD57FD"/>
    <w:rsid w:val="37F708BD"/>
    <w:rsid w:val="38CC1D4A"/>
    <w:rsid w:val="397D1296"/>
    <w:rsid w:val="39B36A66"/>
    <w:rsid w:val="3C0B4937"/>
    <w:rsid w:val="3C8143B5"/>
    <w:rsid w:val="3E2148E6"/>
    <w:rsid w:val="3F285800"/>
    <w:rsid w:val="41F807D5"/>
    <w:rsid w:val="42BF46CD"/>
    <w:rsid w:val="43645C16"/>
    <w:rsid w:val="457D0E97"/>
    <w:rsid w:val="464F74E8"/>
    <w:rsid w:val="469E3530"/>
    <w:rsid w:val="478478F8"/>
    <w:rsid w:val="486F26F2"/>
    <w:rsid w:val="4A407EA2"/>
    <w:rsid w:val="4A78588E"/>
    <w:rsid w:val="4AF368EE"/>
    <w:rsid w:val="4B2E419E"/>
    <w:rsid w:val="4D695962"/>
    <w:rsid w:val="4F2E6E63"/>
    <w:rsid w:val="4FD07F1A"/>
    <w:rsid w:val="511E6463"/>
    <w:rsid w:val="53FD2CDB"/>
    <w:rsid w:val="54F23AC6"/>
    <w:rsid w:val="56B26EEC"/>
    <w:rsid w:val="56F344A5"/>
    <w:rsid w:val="572F56FD"/>
    <w:rsid w:val="57303A54"/>
    <w:rsid w:val="57F95B34"/>
    <w:rsid w:val="583D3C73"/>
    <w:rsid w:val="584C035A"/>
    <w:rsid w:val="594C6863"/>
    <w:rsid w:val="5B5805E4"/>
    <w:rsid w:val="5B857E0A"/>
    <w:rsid w:val="5C270EC2"/>
    <w:rsid w:val="5C5B6DBD"/>
    <w:rsid w:val="5D094A6B"/>
    <w:rsid w:val="5E082F75"/>
    <w:rsid w:val="5E190CDE"/>
    <w:rsid w:val="60296DF1"/>
    <w:rsid w:val="609B59DA"/>
    <w:rsid w:val="60A46F85"/>
    <w:rsid w:val="610F0176"/>
    <w:rsid w:val="622814F0"/>
    <w:rsid w:val="62813596"/>
    <w:rsid w:val="637D59BA"/>
    <w:rsid w:val="63BF30C5"/>
    <w:rsid w:val="64874BF3"/>
    <w:rsid w:val="65B01F28"/>
    <w:rsid w:val="661F0E5C"/>
    <w:rsid w:val="68C9088B"/>
    <w:rsid w:val="69A04061"/>
    <w:rsid w:val="6A1D000C"/>
    <w:rsid w:val="6BD46244"/>
    <w:rsid w:val="6C7C7FF0"/>
    <w:rsid w:val="6CF654FF"/>
    <w:rsid w:val="6DD15131"/>
    <w:rsid w:val="6FD66A2F"/>
    <w:rsid w:val="70657DB3"/>
    <w:rsid w:val="7302087E"/>
    <w:rsid w:val="752913AF"/>
    <w:rsid w:val="75645ACD"/>
    <w:rsid w:val="77181135"/>
    <w:rsid w:val="77927421"/>
    <w:rsid w:val="78202F3D"/>
    <w:rsid w:val="79983882"/>
    <w:rsid w:val="7ACE4ED2"/>
    <w:rsid w:val="7BFA4D7E"/>
    <w:rsid w:val="7C013085"/>
    <w:rsid w:val="7CDB38D7"/>
    <w:rsid w:val="7CE02C9B"/>
    <w:rsid w:val="7E2277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Body Text"/>
    <w:basedOn w:val="2"/>
    <w:qFormat/>
    <w:uiPriority w:val="0"/>
    <w:pPr>
      <w:spacing w:before="180"/>
      <w:ind w:firstLine="200"/>
    </w:p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7">
    <w:name w:val="Default"/>
    <w:qFormat/>
    <w:uiPriority w:val="99"/>
    <w:pPr>
      <w:widowControl w:val="0"/>
      <w:autoSpaceDE w:val="0"/>
      <w:autoSpaceDN w:val="0"/>
      <w:adjustRightInd w:val="0"/>
    </w:pPr>
    <w:rPr>
      <w:rFonts w:ascii="方正小标宋_GBK" w:hAnsi="方正小标宋_GBK" w:eastAsia="方正小标宋_GBK" w:cs="方正小标宋_GBK"/>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2862</Words>
  <Characters>2959</Characters>
  <Lines>0</Lines>
  <Paragraphs>0</Paragraphs>
  <TotalTime>206</TotalTime>
  <ScaleCrop>false</ScaleCrop>
  <LinksUpToDate>false</LinksUpToDate>
  <CharactersWithSpaces>2959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2023-01-16T07:45:00Z</dcterms:created>
  <dc:creator>诗人与熊</dc:creator>
  <cp:lastModifiedBy>WPS_1644927442</cp:lastModifiedBy>
  <cp:lastPrinted>2026-01-12T02:30:00Z</cp:lastPrinted>
  <dcterms:modified xsi:type="dcterms:W3CDTF">2026-01-21T07:46:59Z</dcterms:modified>
  <dc:title>某某单位（规范全称）</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8C35FF7389F444CDB1FA0F73997C0694_13</vt:lpwstr>
  </property>
  <property fmtid="{D5CDD505-2E9C-101B-9397-08002B2CF9AE}" pid="4" name="KSOTemplateDocerSaveRecord">
    <vt:lpwstr>eyJoZGlkIjoiNzFmYTc0Yzc0ZGE1N2I2YzFlYjJmMTVjZWFmZDQ1MmMiLCJ1c2VySWQiOiIxMzMxOTkyNDM1In0=</vt:lpwstr>
  </property>
</Properties>
</file>