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制定的背景和依据</w:t>
      </w:r>
    </w:p>
    <w:p>
      <w:pPr>
        <w:keepNext w:val="0"/>
        <w:keepLines w:val="0"/>
        <w:pageBreakBefore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习近平新时代中国特色社会主义思想为指导，按照国家、省、市关于持续深化“放管服”改革工作部署要求，加快推进相对集中行政许可权改革，创新和完善事中事后监管，着力形成审批、监管、执法、服务相互制约又相互协调的运行机制，不断优化我</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营商环境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为推动临港区高质量发展、打造现代化产业新城贡献力量</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进一步深化“放管服”改革，</w:t>
      </w:r>
      <w:r>
        <w:rPr>
          <w:rFonts w:hint="eastAsia" w:ascii="仿宋_GB2312" w:hAnsi="仿宋_GB2312" w:eastAsia="仿宋_GB2312" w:cs="仿宋_GB2312"/>
          <w:color w:val="000000"/>
          <w:sz w:val="32"/>
          <w:szCs w:val="32"/>
        </w:rPr>
        <w:t>强化行政审批与监管执法工作的协调联动，</w:t>
      </w:r>
      <w:r>
        <w:rPr>
          <w:rFonts w:hint="eastAsia" w:ascii="仿宋_GB2312" w:hAnsi="仿宋_GB2312" w:eastAsia="仿宋_GB2312" w:cs="仿宋_GB2312"/>
          <w:sz w:val="32"/>
          <w:szCs w:val="32"/>
        </w:rPr>
        <w:t>根据《中华人民共和国行政许可法》《中华人民共和国行政处罚法</w:t>
      </w:r>
      <w:r>
        <w:rPr>
          <w:rFonts w:hint="eastAsia" w:ascii="仿宋_GB2312" w:hAnsi="仿宋_GB2312" w:eastAsia="仿宋_GB2312" w:cs="仿宋_GB2312"/>
          <w:color w:val="auto"/>
          <w:sz w:val="32"/>
          <w:szCs w:val="32"/>
        </w:rPr>
        <w:t>》《山东省人民政府办公厅关于深化相对集中行政许可权改革规范市县级行政审批服务工作的意见》（鲁政办字〔2020〕85号）</w:t>
      </w:r>
      <w:r>
        <w:rPr>
          <w:rFonts w:hint="eastAsia" w:ascii="仿宋_GB2312" w:hAnsi="仿宋_GB2312" w:eastAsia="仿宋_GB2312" w:cs="仿宋_GB2312"/>
          <w:color w:val="auto"/>
          <w:sz w:val="32"/>
          <w:szCs w:val="32"/>
          <w:lang w:eastAsia="zh-CN"/>
        </w:rPr>
        <w:t>及</w:t>
      </w:r>
      <w:r>
        <w:rPr>
          <w:rFonts w:hint="eastAsia" w:ascii="仿宋_GB2312" w:hAnsi="仿宋_GB2312" w:eastAsia="仿宋_GB2312" w:cs="仿宋_GB2312"/>
          <w:color w:val="auto"/>
          <w:sz w:val="32"/>
          <w:szCs w:val="32"/>
          <w:lang w:val="en-US" w:eastAsia="zh-CN"/>
        </w:rPr>
        <w:t>威海</w:t>
      </w:r>
      <w:r>
        <w:rPr>
          <w:rFonts w:hint="eastAsia" w:ascii="仿宋_GB2312" w:hAnsi="仿宋_GB2312" w:eastAsia="仿宋_GB2312" w:cs="仿宋_GB2312"/>
          <w:color w:val="auto"/>
          <w:sz w:val="32"/>
          <w:szCs w:val="32"/>
          <w:lang w:eastAsia="zh-CN"/>
        </w:rPr>
        <w:t>市政府有关</w:t>
      </w:r>
      <w:r>
        <w:rPr>
          <w:rFonts w:hint="eastAsia" w:ascii="仿宋_GB2312" w:hAnsi="仿宋_GB2312" w:eastAsia="仿宋_GB2312" w:cs="仿宋_GB2312"/>
          <w:color w:val="auto"/>
          <w:sz w:val="32"/>
          <w:szCs w:val="32"/>
        </w:rPr>
        <w:t>规定，结合</w:t>
      </w:r>
      <w:r>
        <w:rPr>
          <w:rFonts w:hint="eastAsia" w:ascii="仿宋_GB2312" w:hAnsi="仿宋_GB2312" w:eastAsia="仿宋_GB2312" w:cs="仿宋_GB2312"/>
          <w:color w:val="auto"/>
          <w:sz w:val="32"/>
          <w:szCs w:val="32"/>
          <w:lang w:val="en-US" w:eastAsia="zh-CN"/>
        </w:rPr>
        <w:t>区内</w:t>
      </w:r>
      <w:r>
        <w:rPr>
          <w:rFonts w:hint="eastAsia" w:ascii="仿宋_GB2312" w:hAnsi="仿宋_GB2312" w:eastAsia="仿宋_GB2312" w:cs="仿宋_GB2312"/>
          <w:color w:val="auto"/>
          <w:sz w:val="32"/>
          <w:szCs w:val="32"/>
        </w:rPr>
        <w:t>实际，</w:t>
      </w:r>
      <w:r>
        <w:rPr>
          <w:rFonts w:hint="eastAsia" w:ascii="仿宋_GB2312" w:hAnsi="仿宋_GB2312" w:eastAsia="仿宋_GB2312" w:cs="仿宋_GB2312"/>
          <w:color w:val="auto"/>
          <w:sz w:val="32"/>
          <w:szCs w:val="32"/>
          <w:lang w:val="en-US" w:eastAsia="zh-CN"/>
        </w:rPr>
        <w:t>威海</w:t>
      </w:r>
      <w:r>
        <w:rPr>
          <w:rFonts w:hint="eastAsia" w:ascii="仿宋_GB2312" w:hAnsi="仿宋_GB2312" w:eastAsia="仿宋_GB2312" w:cs="仿宋_GB2312"/>
          <w:color w:val="auto"/>
          <w:sz w:val="32"/>
          <w:szCs w:val="32"/>
          <w:lang w:eastAsia="zh-CN"/>
        </w:rPr>
        <w:t>临港区党政办公室印发《</w:t>
      </w:r>
      <w:r>
        <w:rPr>
          <w:rFonts w:hint="eastAsia" w:ascii="仿宋_GB2312" w:hAnsi="仿宋_GB2312" w:eastAsia="仿宋_GB2312" w:cs="仿宋_GB2312"/>
          <w:color w:val="auto"/>
          <w:sz w:val="32"/>
          <w:szCs w:val="32"/>
          <w:lang w:val="en-US" w:eastAsia="zh-CN"/>
        </w:rPr>
        <w:t>威海临港经济技术开发区</w:t>
      </w:r>
      <w:r>
        <w:rPr>
          <w:rFonts w:hint="eastAsia" w:ascii="仿宋_GB2312" w:hAnsi="仿宋_GB2312" w:eastAsia="仿宋_GB2312" w:cs="仿宋_GB2312"/>
          <w:color w:val="auto"/>
          <w:sz w:val="32"/>
          <w:szCs w:val="32"/>
        </w:rPr>
        <w:t>行政审批与监管协调联动工作机制</w:t>
      </w:r>
      <w:r>
        <w:rPr>
          <w:rFonts w:hint="eastAsia" w:ascii="仿宋_GB2312" w:hAnsi="仿宋_GB2312" w:eastAsia="仿宋_GB2312" w:cs="仿宋_GB2312"/>
          <w:color w:val="auto"/>
          <w:sz w:val="32"/>
          <w:szCs w:val="32"/>
          <w:lang w:eastAsia="zh-CN"/>
        </w:rPr>
        <w:t>》</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以</w:t>
      </w:r>
      <w:r>
        <w:rPr>
          <w:rFonts w:hint="eastAsia" w:ascii="仿宋_GB2312" w:hAnsi="仿宋_GB2312" w:eastAsia="仿宋_GB2312" w:cs="仿宋_GB2312"/>
          <w:color w:val="auto"/>
          <w:sz w:val="32"/>
          <w:szCs w:val="32"/>
          <w:lang w:val="en-US" w:eastAsia="zh-CN"/>
        </w:rPr>
        <w:t>下简称《机制》）</w:t>
      </w:r>
      <w:r>
        <w:rPr>
          <w:rFonts w:hint="eastAsia" w:ascii="仿宋_GB2312" w:hAnsi="仿宋_GB2312" w:eastAsia="仿宋_GB2312" w:cs="仿宋_GB2312"/>
          <w:color w:val="auto"/>
          <w:sz w:val="32"/>
          <w:szCs w:val="32"/>
        </w:rPr>
        <w:t>。</w:t>
      </w:r>
    </w:p>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工作目标：</w:t>
      </w:r>
    </w:p>
    <w:p>
      <w:pPr>
        <w:ind w:firstLine="640" w:firstLineChars="200"/>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遵循审管相对分离、权责一致、分工明确、沟通顺畅、齐抓共管的原则，通过明确行政审批与监管执法职责分工，建立行政审批与监管执法工作协调联动工作机制，形成“权责明确、各司其职、协同管理、共同推进”的长效机制</w:t>
      </w:r>
      <w:r>
        <w:rPr>
          <w:rFonts w:hint="eastAsia" w:ascii="仿宋_GB2312" w:hAnsi="仿宋_GB2312" w:eastAsia="仿宋_GB2312" w:cs="仿宋_GB2312"/>
          <w:sz w:val="32"/>
          <w:szCs w:val="32"/>
          <w:lang w:val="en-US" w:eastAsia="zh-CN"/>
        </w:rPr>
        <w:t>。</w:t>
      </w:r>
    </w:p>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主要内容：</w:t>
      </w:r>
    </w:p>
    <w:p>
      <w:pPr>
        <w:ind w:firstLine="640" w:firstLineChars="200"/>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细化审批监管执法配合联动工作机制，明确部门职责权限，进</w:t>
      </w:r>
      <w:r>
        <w:rPr>
          <w:rFonts w:hint="eastAsia" w:ascii="仿宋_GB2312" w:hAnsi="仿宋_GB2312" w:eastAsia="仿宋_GB2312" w:cs="仿宋_GB2312"/>
          <w:sz w:val="32"/>
          <w:szCs w:val="32"/>
          <w:lang w:val="en-US" w:eastAsia="zh-CN"/>
        </w:rPr>
        <w:t>一步提升审批、监管效能。</w:t>
      </w:r>
    </w:p>
    <w:p>
      <w:pPr>
        <w:keepNext w:val="0"/>
        <w:keepLines w:val="0"/>
        <w:pageBreakBefore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仿宋_GB2312" w:hAnsi="仿宋_GB2312" w:eastAsia="仿宋_GB2312" w:cs="仿宋_GB2312"/>
          <w:sz w:val="32"/>
          <w:szCs w:val="32"/>
          <w:lang w:eastAsia="zh-CN"/>
          <w:woUserID w:val="1"/>
        </w:rPr>
      </w:pPr>
      <w:r>
        <w:rPr>
          <w:rFonts w:hint="eastAsia" w:ascii="仿宋_GB2312" w:hAnsi="仿宋_GB2312" w:eastAsia="仿宋_GB2312" w:cs="仿宋_GB2312"/>
          <w:sz w:val="32"/>
          <w:szCs w:val="32"/>
          <w:lang w:val="en-US" w:eastAsia="zh-CN"/>
        </w:rPr>
        <w:t>（一）明确行政审批与监管部门职责边界</w:t>
      </w:r>
      <w:r>
        <w:rPr>
          <w:rFonts w:hint="default" w:ascii="仿宋_GB2312" w:hAnsi="仿宋_GB2312" w:eastAsia="仿宋_GB2312" w:cs="仿宋_GB2312"/>
          <w:sz w:val="32"/>
          <w:szCs w:val="32"/>
          <w:lang w:eastAsia="zh-CN"/>
          <w:woUserID w:val="1"/>
        </w:rPr>
        <w:t>。</w:t>
      </w:r>
    </w:p>
    <w:p>
      <w:pPr>
        <w:keepNext w:val="0"/>
        <w:keepLines w:val="0"/>
        <w:pageBreakBefore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仿宋_GB2312" w:hAnsi="仿宋_GB2312" w:eastAsia="仿宋_GB2312" w:cs="仿宋_GB2312"/>
          <w:sz w:val="32"/>
          <w:szCs w:val="32"/>
          <w:woUserID w:val="1"/>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建立行政审批与监管双向信息反馈工作制度</w:t>
      </w:r>
      <w:r>
        <w:rPr>
          <w:rFonts w:hint="default" w:ascii="仿宋_GB2312" w:hAnsi="仿宋_GB2312" w:eastAsia="仿宋_GB2312" w:cs="仿宋_GB2312"/>
          <w:sz w:val="32"/>
          <w:szCs w:val="32"/>
          <w:woUserID w:val="1"/>
        </w:rPr>
        <w:t>。</w:t>
      </w:r>
    </w:p>
    <w:p>
      <w:pPr>
        <w:pStyle w:val="4"/>
        <w:keepNext w:val="0"/>
        <w:keepLines w:val="0"/>
        <w:pageBreakBefore w:val="0"/>
        <w:widowControl/>
        <w:numPr>
          <w:ilvl w:val="0"/>
          <w:numId w:val="0"/>
        </w:numPr>
        <w:suppressLineNumbers w:val="0"/>
        <w:kinsoku/>
        <w:wordWrap/>
        <w:overflowPunct/>
        <w:topLinePunct w:val="0"/>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b w:val="0"/>
          <w:bCs w:val="0"/>
          <w:color w:val="000000"/>
          <w:sz w:val="32"/>
          <w:szCs w:val="32"/>
          <w:woUserID w:val="1"/>
        </w:rPr>
      </w:pPr>
      <w:r>
        <w:rPr>
          <w:rFonts w:hint="eastAsia" w:ascii="仿宋_GB2312" w:hAnsi="仿宋_GB2312" w:eastAsia="仿宋_GB2312" w:cs="仿宋_GB2312"/>
          <w:b w:val="0"/>
          <w:bCs w:val="0"/>
          <w:color w:val="000000"/>
          <w:sz w:val="32"/>
          <w:szCs w:val="32"/>
        </w:rPr>
        <w:t>（三）建立重要审批事项专项会商制度</w:t>
      </w:r>
      <w:r>
        <w:rPr>
          <w:rFonts w:hint="default" w:ascii="仿宋_GB2312" w:hAnsi="仿宋_GB2312" w:eastAsia="仿宋_GB2312" w:cs="仿宋_GB2312"/>
          <w:b w:val="0"/>
          <w:bCs w:val="0"/>
          <w:color w:val="000000"/>
          <w:sz w:val="32"/>
          <w:szCs w:val="32"/>
          <w:woUserID w:val="1"/>
        </w:rPr>
        <w:t>。</w:t>
      </w:r>
    </w:p>
    <w:p>
      <w:pPr>
        <w:pStyle w:val="4"/>
        <w:keepNext w:val="0"/>
        <w:keepLines w:val="0"/>
        <w:pageBreakBefore w:val="0"/>
        <w:widowControl/>
        <w:numPr>
          <w:ilvl w:val="0"/>
          <w:numId w:val="0"/>
        </w:numPr>
        <w:suppressLineNumbers w:val="0"/>
        <w:kinsoku/>
        <w:wordWrap/>
        <w:overflowPunct/>
        <w:topLinePunct w:val="0"/>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sz w:val="32"/>
          <w:szCs w:val="32"/>
          <w:woUserID w:val="1"/>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rPr>
        <w:t>）落实审批和监管责任追究</w:t>
      </w:r>
      <w:r>
        <w:rPr>
          <w:rFonts w:hint="default" w:ascii="仿宋_GB2312" w:hAnsi="仿宋_GB2312" w:eastAsia="仿宋_GB2312" w:cs="仿宋_GB2312"/>
          <w:sz w:val="32"/>
          <w:szCs w:val="32"/>
          <w:woUserID w:val="1"/>
        </w:rPr>
        <w:t>。</w:t>
      </w:r>
      <w:bookmarkStart w:id="0" w:name="_GoBack"/>
      <w:bookmarkEnd w:id="0"/>
    </w:p>
    <w:p>
      <w:pPr>
        <w:pStyle w:val="2"/>
        <w:numPr>
          <w:ilvl w:val="0"/>
          <w:numId w:val="0"/>
        </w:numPr>
        <w:rPr>
          <w:rFonts w:hint="eastAsia" w:ascii="楷体_GB2312" w:hAnsi="楷体_GB2312" w:eastAsia="楷体_GB2312" w:cs="楷体_GB2312"/>
          <w:sz w:val="32"/>
          <w:szCs w:val="32"/>
          <w:lang w:val="en-US" w:eastAsia="zh-CN"/>
        </w:rPr>
      </w:pPr>
    </w:p>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颁布的意义：</w:t>
      </w:r>
    </w:p>
    <w:p>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行政审批制度改革以来，我区严格</w:t>
      </w:r>
      <w:r>
        <w:rPr>
          <w:rFonts w:hint="default" w:ascii="仿宋_GB2312" w:hAnsi="仿宋_GB2312" w:eastAsia="仿宋_GB2312" w:cs="仿宋_GB2312"/>
          <w:sz w:val="32"/>
          <w:szCs w:val="32"/>
          <w:lang w:val="en-US" w:eastAsia="zh-CN"/>
        </w:rPr>
        <w:t>按照《威海市人民政府办公室关于印发威海市行政审批与监管协调联动工作机制的通知》要求，严格执行《行政许可及关联事项划转交接备忘录》中关于审批监管执法的相关规定开展工作，并约定和明确了临港区行政审批与监管协调联动工作体系。在前期工作基础上，进一步修改完善提升，制定并印发了</w:t>
      </w:r>
      <w:r>
        <w:rPr>
          <w:rFonts w:hint="eastAsia" w:ascii="仿宋_GB2312" w:hAnsi="仿宋_GB2312" w:eastAsia="仿宋_GB2312" w:cs="仿宋_GB2312"/>
          <w:sz w:val="32"/>
          <w:szCs w:val="32"/>
          <w:lang w:val="en-US" w:eastAsia="zh-CN"/>
        </w:rPr>
        <w:t>本</w:t>
      </w:r>
      <w:r>
        <w:rPr>
          <w:rFonts w:hint="default" w:ascii="仿宋_GB2312" w:hAnsi="仿宋_GB2312" w:eastAsia="仿宋_GB2312" w:cs="仿宋_GB2312"/>
          <w:sz w:val="32"/>
          <w:szCs w:val="32"/>
          <w:lang w:val="en-US" w:eastAsia="zh-CN"/>
        </w:rPr>
        <w:t>《机制》，进一步厘清行政审批与监管部门职责边界、完善行政审批与监管双向信息反馈机制、明确重要审批事项专项会商和责任追究体系，提升工作标准和工作规范。</w:t>
      </w:r>
      <w:r>
        <w:rPr>
          <w:rFonts w:hint="eastAsia" w:ascii="仿宋_GB2312" w:hAnsi="仿宋_GB2312" w:eastAsia="仿宋_GB2312" w:cs="仿宋_GB2312"/>
          <w:sz w:val="32"/>
          <w:szCs w:val="32"/>
          <w:lang w:val="en-US" w:eastAsia="zh-CN"/>
        </w:rPr>
        <w:t>通过《机制》的</w:t>
      </w:r>
      <w:r>
        <w:rPr>
          <w:rFonts w:hint="default" w:ascii="仿宋_GB2312" w:hAnsi="仿宋_GB2312" w:eastAsia="仿宋_GB2312" w:cs="仿宋_GB2312"/>
          <w:sz w:val="32"/>
          <w:szCs w:val="32"/>
          <w:lang w:val="en-US" w:eastAsia="zh-CN"/>
        </w:rPr>
        <w:t>建立</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用好审管信息联动交流机制，加强信息的连通共享和工作的沟通协作，切实创新工作方法，落实各自责任，确保“一枚印章管审批”改革取得实效。</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方正小标宋简体">
    <w:altName w:val="汉仪书宋二KW"/>
    <w:panose1 w:val="03000509000000000000"/>
    <w:charset w:val="86"/>
    <w:family w:val="script"/>
    <w:pitch w:val="default"/>
    <w:sig w:usb0="00000000" w:usb1="00000000" w:usb2="00000000" w:usb3="00000000" w:csb0="00040000" w:csb1="00000000"/>
  </w:font>
  <w:font w:name="仿宋_GB2312">
    <w:altName w:val="汉仪仿宋KW"/>
    <w:panose1 w:val="02010609030101010101"/>
    <w:charset w:val="86"/>
    <w:family w:val="auto"/>
    <w:pitch w:val="default"/>
    <w:sig w:usb0="00000000" w:usb1="00000000" w:usb2="00000000" w:usb3="00000000" w:csb0="00040000" w:csb1="00000000"/>
  </w:font>
  <w:font w:name="楷体_GB2312">
    <w:altName w:val="汉仪楷体KW"/>
    <w:panose1 w:val="02010609030101010101"/>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汉仪楷体KW">
    <w:panose1 w:val="00020600040101010101"/>
    <w:charset w:val="86"/>
    <w:family w:val="auto"/>
    <w:pitch w:val="default"/>
    <w:sig w:usb0="A00002BF" w:usb1="18EF7CFA" w:usb2="00000016"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0EC0118B"/>
    <w:rsid w:val="0EC0118B"/>
    <w:rsid w:val="83E7634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0</Words>
  <Characters>0</Characters>
  <Lines>0</Lines>
  <Paragraphs>0</Paragraphs>
  <TotalTime>6</TotalTime>
  <ScaleCrop>false</ScaleCrop>
  <LinksUpToDate>false</LinksUpToDate>
  <CharactersWithSpaces>0</CharactersWithSpaces>
  <Application>WWO_base_provider_20210929220102-c9fcf70066</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2022-08-11T21:52:00Z</dcterms:created>
  <dc:creator>快乐星球常驻民</dc:creator>
  <cp:lastModifiedBy>快乐星球常驻民</cp:lastModifiedBy>
  <dcterms:modified xsi:type="dcterms:W3CDTF">2022-08-12T08:42:33Z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C43BA08D8A8C443DB0EA4904C122F7C0</vt:lpwstr>
  </property>
</Properties>
</file>