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7C110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宋体" w:hAnsi="宋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 w14:paraId="3539CD0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威海临港经济技术开发区蔄山镇人民政府</w:t>
      </w:r>
    </w:p>
    <w:p w14:paraId="1965013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 w14:paraId="7DF033A2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宋体" w:hAnsi="宋体" w:eastAsia="仿宋_GB2312" w:cs="Times New Roman"/>
          <w:color w:val="auto"/>
          <w:sz w:val="32"/>
          <w:szCs w:val="32"/>
        </w:rPr>
      </w:pPr>
    </w:p>
    <w:p w14:paraId="527D99C1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40" w:lineRule="exact"/>
        <w:ind w:left="0" w:firstLine="645"/>
        <w:jc w:val="both"/>
        <w:textAlignment w:val="auto"/>
        <w:rPr>
          <w:rFonts w:hint="default" w:ascii="宋体" w:hAnsi="宋体" w:cs="Times New Roman"/>
          <w:color w:val="auto"/>
          <w:sz w:val="32"/>
          <w:szCs w:val="32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宋体" w:hAnsi="宋体" w:cs="Times New Roman"/>
          <w:color w:val="auto"/>
          <w:sz w:val="32"/>
          <w:szCs w:val="32"/>
        </w:rPr>
        <w:t>711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宋体" w:hAnsi="宋体" w:cs="Times New Roman"/>
          <w:color w:val="auto"/>
          <w:sz w:val="32"/>
          <w:szCs w:val="32"/>
        </w:rPr>
        <w:t>2021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宋体" w:hAnsi="宋体" w:cs="Times New Roman"/>
          <w:color w:val="auto"/>
          <w:sz w:val="32"/>
          <w:szCs w:val="32"/>
        </w:rPr>
        <w:t>202</w:t>
      </w:r>
      <w:r>
        <w:rPr>
          <w:rFonts w:hint="eastAsia" w:ascii="宋体" w:hAnsi="宋体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年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威海临港经济技术开发区蔄山镇人民政府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信息公开工作实际，编制发布本报告。</w:t>
      </w:r>
    </w:p>
    <w:p w14:paraId="65DC675D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40" w:lineRule="exact"/>
        <w:ind w:left="0" w:firstLine="645"/>
        <w:jc w:val="both"/>
        <w:textAlignment w:val="auto"/>
        <w:rPr>
          <w:rFonts w:hint="default" w:ascii="宋体" w:hAnsi="宋体" w:cs="Times New Roman"/>
          <w:color w:val="auto"/>
          <w:sz w:val="32"/>
          <w:szCs w:val="32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宋体" w:hAnsi="宋体" w:cs="Times New Roman"/>
          <w:color w:val="auto"/>
          <w:sz w:val="32"/>
          <w:szCs w:val="32"/>
        </w:rPr>
        <w:t>202</w:t>
      </w:r>
      <w:r>
        <w:rPr>
          <w:rFonts w:hint="eastAsia" w:ascii="宋体" w:hAnsi="宋体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年</w:t>
      </w:r>
      <w:r>
        <w:rPr>
          <w:rFonts w:hint="default" w:ascii="宋体" w:hAnsi="宋体" w:cs="Times New Roman"/>
          <w:color w:val="auto"/>
          <w:sz w:val="32"/>
          <w:szCs w:val="32"/>
        </w:rPr>
        <w:t>1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月</w:t>
      </w:r>
      <w:r>
        <w:rPr>
          <w:rFonts w:hint="default" w:ascii="宋体" w:hAnsi="宋体" w:cs="Times New Roman"/>
          <w:color w:val="auto"/>
          <w:sz w:val="32"/>
          <w:szCs w:val="32"/>
        </w:rPr>
        <w:t>1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日到</w:t>
      </w:r>
      <w:r>
        <w:rPr>
          <w:rFonts w:hint="default" w:ascii="宋体" w:hAnsi="宋体" w:cs="Times New Roman"/>
          <w:color w:val="auto"/>
          <w:sz w:val="32"/>
          <w:szCs w:val="32"/>
        </w:rPr>
        <w:t>12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月</w:t>
      </w:r>
      <w:r>
        <w:rPr>
          <w:rFonts w:hint="default" w:ascii="宋体" w:hAnsi="宋体" w:cs="Times New Roman"/>
          <w:color w:val="auto"/>
          <w:sz w:val="32"/>
          <w:szCs w:val="32"/>
        </w:rPr>
        <w:t>31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威海临港经济技术开发区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eastAsia="zh-CN"/>
        </w:rPr>
        <w:t>管委会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宋体" w:hAnsi="宋体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网址：http://www.wip.gov.cn/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威海临港经济技术开发区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蔄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山镇人民政府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威海临港经济技术开发区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蔄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山镇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正气路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1号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0631-8547066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）。</w:t>
      </w:r>
    </w:p>
    <w:p w14:paraId="68C10A5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 w14:paraId="2A2DA1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宋体" w:hAnsi="宋体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宋体" w:hAnsi="宋体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</w:p>
    <w:p w14:paraId="539F6FA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宋体" w:hAnsi="宋体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202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年，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eastAsia="zh-CN"/>
        </w:rPr>
        <w:t>蔄山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镇人民政府主动公开政府信息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val="en-US" w:eastAsia="zh-CN"/>
        </w:rPr>
        <w:t>92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条，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val="en-US" w:eastAsia="zh-CN"/>
        </w:rPr>
        <w:t>其中包括基层政务公开类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、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val="en-US" w:eastAsia="zh-CN"/>
        </w:rPr>
        <w:t>社会保障栏目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类等信息。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val="en-US" w:eastAsia="zh-CN"/>
        </w:rPr>
        <w:t>持续深化重点领域信息公开工作。做好财政信息公开，及时主动公开财政收支预决算信息，完善“镇级动态”“临港开讲”“业务工作”等栏目内容，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按照主动公开、依申请公开、不予公开的政府信息分类要求，以主动公开为原则，不公开为例外，建立健全信息公开平台，及时报送和更新信息公开内容，确保了政府信息公开的全面、及时、准确。</w:t>
      </w:r>
    </w:p>
    <w:p w14:paraId="5FBF74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default" w:ascii="宋体" w:hAnsi="宋体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宋体" w:hAnsi="宋体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</w:p>
    <w:p w14:paraId="267CCB7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年，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蔄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山镇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未收到依申请公开申请。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与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2023年相比减少2条。</w:t>
      </w:r>
    </w:p>
    <w:p w14:paraId="5B9A930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default" w:ascii="宋体" w:hAnsi="宋体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3.</w:t>
      </w:r>
      <w:r>
        <w:rPr>
          <w:rFonts w:hint="default" w:ascii="宋体" w:hAnsi="宋体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政府信息管理方面。</w:t>
      </w:r>
    </w:p>
    <w:p w14:paraId="37871A3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default" w:ascii="宋体" w:hAnsi="宋体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蔄山镇紧密遵循相关文件指导原则，并立足于本镇实际情况，着力强化政府信息管理体系的建设工作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  <w:highlight w:val="none"/>
        </w:rPr>
        <w:t>。一是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围绕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  <w:highlight w:val="none"/>
        </w:rPr>
        <w:t>教育、医疗、环保、扶贫等民生领域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  <w:highlight w:val="none"/>
        </w:rPr>
        <w:t>充分发挥“政府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信息公开”平台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val="en-US" w:eastAsia="zh-CN"/>
        </w:rPr>
        <w:t>发布信息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。建立健全信息公开监督机制，对信息公开工作进行监督检查，确保信息公开落到实处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‌二是严格执行信息公开保密审查制度。拟公开的政府信息中含有</w:t>
      </w:r>
      <w:r>
        <w:rPr>
          <w:rFonts w:hint="eastAsia" w:ascii="宋体" w:hAnsi="宋体" w:eastAsia="仿宋_GB2312" w:cs="Times New Roman"/>
          <w:b w:val="0"/>
          <w:bCs/>
          <w:color w:val="0000FF"/>
          <w:sz w:val="32"/>
          <w:szCs w:val="32"/>
          <w:lang w:val="en-US" w:eastAsia="zh-CN"/>
        </w:rPr>
        <w:t>敏感信息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内容的，应当按照规定对有关内容采取删除、变更等方式进行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val="en-US" w:eastAsia="zh-CN"/>
        </w:rPr>
        <w:t>保密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处理，采取属于</w:t>
      </w:r>
      <w:r>
        <w:rPr>
          <w:rFonts w:hint="eastAsia" w:ascii="宋体" w:hAnsi="宋体" w:eastAsia="仿宋_GB2312" w:cs="Times New Roman"/>
          <w:b w:val="0"/>
          <w:bCs/>
          <w:color w:val="0000FF"/>
          <w:sz w:val="32"/>
          <w:szCs w:val="32"/>
          <w:lang w:val="en-US" w:eastAsia="zh-CN"/>
        </w:rPr>
        <w:t>敏感信息</w:t>
      </w:r>
      <w:r>
        <w:rPr>
          <w:rFonts w:hint="default" w:ascii="宋体" w:hAnsi="宋体" w:eastAsia="仿宋_GB2312" w:cs="Times New Roman"/>
          <w:b w:val="0"/>
          <w:bCs/>
          <w:color w:val="0000FF"/>
          <w:sz w:val="32"/>
          <w:szCs w:val="32"/>
        </w:rPr>
        <w:t>的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部分不予公开、其余部分公开的方法处理。三是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严守信息发布审核程序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</w:rPr>
        <w:t>工作。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val="en-US" w:eastAsia="zh-CN"/>
        </w:rPr>
        <w:t>避免泄漏或负面影响事件发生，信息发布人提交发布申请，需审核通过后可发布信息。</w:t>
      </w:r>
    </w:p>
    <w:p w14:paraId="4387DD8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default" w:ascii="宋体" w:hAnsi="宋体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宋体" w:hAnsi="宋体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</w:p>
    <w:p w14:paraId="08E67D9C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645"/>
        <w:jc w:val="both"/>
        <w:textAlignment w:val="auto"/>
        <w:rPr>
          <w:rFonts w:hint="eastAsia" w:ascii="宋体" w:hAnsi="宋体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政府信息公开平台主要有政府信息公开网站、微信公众号、抖音账号，其中政府信息公开网站日常运行由党政事务综合办公室负责，微信公众号平台、抖音账号由公共文化中心负责运行维护。“魅力蔄山”微信公众号涉及政策文件、政务信息、便民服务等全年共发布522条信息，“产城蔄山”抖音账号全年发布视频46条。</w:t>
      </w:r>
    </w:p>
    <w:p w14:paraId="7C66E57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default" w:ascii="宋体" w:hAnsi="宋体" w:eastAsia="楷体_GB2312" w:cs="楷体_GB2312"/>
          <w:b w:val="0"/>
          <w:bCs/>
          <w:color w:val="0000FF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b w:val="0"/>
          <w:bCs/>
          <w:color w:val="0000FF"/>
          <w:sz w:val="32"/>
          <w:szCs w:val="32"/>
          <w:lang w:val="en-US" w:eastAsia="zh-CN"/>
        </w:rPr>
        <w:t>5.</w:t>
      </w:r>
      <w:r>
        <w:rPr>
          <w:rFonts w:hint="default" w:ascii="宋体" w:hAnsi="宋体" w:eastAsia="楷体_GB2312" w:cs="楷体_GB2312"/>
          <w:b w:val="0"/>
          <w:bCs/>
          <w:color w:val="0000FF"/>
          <w:sz w:val="32"/>
          <w:szCs w:val="32"/>
          <w:lang w:val="en-US" w:eastAsia="zh-CN"/>
        </w:rPr>
        <w:t>监督保障方面。</w:t>
      </w:r>
    </w:p>
    <w:p w14:paraId="795E747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宋体" w:hAnsi="宋体" w:eastAsia="仿宋_GB2312" w:cs="Times New Roman"/>
          <w:b w:val="0"/>
          <w:bCs/>
          <w:color w:val="0000FF"/>
          <w:sz w:val="32"/>
          <w:szCs w:val="32"/>
          <w:highlight w:val="none"/>
        </w:rPr>
        <w:t>一是强化整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  <w:highlight w:val="none"/>
        </w:rPr>
        <w:t>体策略制定。镇党委、政府主要领导多次对政务公开工作进行督查指导，通过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专题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培训会、查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看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工作材料、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询问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  <w:highlight w:val="none"/>
        </w:rPr>
        <w:t>经费投入情况等方式，及时发现问题，提出整改意见，督促整改。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二是增进制度机制构建。根据上级部门工作要求，不断强化政府信息平台建设，根据工作调整情况、班子成员职务变动情况及时更新政府机构概况，及时调整公开指南。三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  <w:highlight w:val="none"/>
        </w:rPr>
        <w:t>是增强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监督管理</w:t>
      </w:r>
      <w:r>
        <w:rPr>
          <w:rFonts w:hint="default" w:ascii="宋体" w:hAnsi="宋体" w:eastAsia="仿宋_GB2312" w:cs="Times New Roman"/>
          <w:b w:val="0"/>
          <w:bCs/>
          <w:color w:val="auto"/>
          <w:sz w:val="32"/>
          <w:szCs w:val="32"/>
          <w:highlight w:val="none"/>
        </w:rPr>
        <w:t>力度。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建立健全政府信息公开工作考核制度和责任追究制度，明确信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val="en-US" w:eastAsia="zh-CN"/>
        </w:rPr>
        <w:t>息公开的范围、流程、时间等要求，并在政府信息公开平台设置专门的监督反馈渠道</w:t>
      </w:r>
      <w:r>
        <w:rPr>
          <w:rFonts w:hint="eastAsia" w:ascii="宋体" w:hAnsi="宋体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  <w:r>
        <w:rPr>
          <w:rFonts w:hint="eastAsia" w:ascii="宋体" w:hAnsi="宋体" w:eastAsia="仿宋_GB2312" w:cs="Times New Roman"/>
          <w:b w:val="0"/>
          <w:bCs/>
          <w:color w:val="FF0000"/>
          <w:sz w:val="32"/>
          <w:szCs w:val="32"/>
          <w:lang w:eastAsia="zh-CN"/>
        </w:rPr>
        <w:t>使监督机制充分发挥其刚性的约束效能，将政务公开工作与法治政府建设紧密融合，携手并进，从而营造出一个多方协同、齐抓共管的积极态势。</w:t>
      </w:r>
    </w:p>
    <w:p w14:paraId="5B2A5FD5">
      <w:pPr>
        <w:pStyle w:val="2"/>
        <w:rPr>
          <w:rFonts w:hint="eastAsia"/>
          <w:lang w:eastAsia="zh-CN"/>
        </w:rPr>
      </w:pPr>
    </w:p>
    <w:p w14:paraId="67C7FE8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72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0"/>
        <w:gridCol w:w="2180"/>
        <w:gridCol w:w="2180"/>
        <w:gridCol w:w="2180"/>
      </w:tblGrid>
      <w:tr w14:paraId="62BB4A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87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67525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14BA4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DA8E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CA00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23DC6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27603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 w14:paraId="1F1B35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64896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63FEB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0A3E8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1B0D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E961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7363D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85C10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56524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7D6A5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2206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87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4E389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54BD8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B6D2D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140B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7AD5DB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6D8A0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E2D5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451D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87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BC94F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7EB4A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38D1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4A0F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2D67A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DEFF2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8B89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387C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6A4A7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E1B9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15A70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87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7FEA6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20DAD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82CF0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6445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00C1E9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3BA0E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9891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1D819D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宋体" w:hAnsi="宋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16"/>
        <w:gridCol w:w="3"/>
        <w:gridCol w:w="3"/>
        <w:gridCol w:w="518"/>
        <w:gridCol w:w="720"/>
        <w:gridCol w:w="675"/>
        <w:gridCol w:w="524"/>
        <w:gridCol w:w="702"/>
      </w:tblGrid>
      <w:tr w14:paraId="4D334F7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696176">
            <w:pPr>
              <w:widowControl/>
              <w:jc w:val="center"/>
              <w:rPr>
                <w:rFonts w:ascii="宋体" w:hAnsi="宋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3C1B4AB0">
            <w:pPr>
              <w:widowControl/>
              <w:jc w:val="center"/>
              <w:rPr>
                <w:rFonts w:ascii="宋体" w:hAnsi="宋体" w:eastAsia="仿宋_GB2312"/>
                <w:color w:val="auto"/>
                <w:szCs w:val="21"/>
              </w:rPr>
            </w:pPr>
            <w:r>
              <w:rPr>
                <w:rFonts w:hint="eastAsia" w:ascii="宋体" w:hAnsi="宋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CFDCAE">
            <w:pPr>
              <w:widowControl/>
              <w:spacing w:line="320" w:lineRule="exact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 w14:paraId="23CED5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D4F02D">
            <w:pPr>
              <w:jc w:val="center"/>
              <w:rPr>
                <w:rFonts w:ascii="宋体" w:hAnsi="宋体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3F2161">
            <w:pPr>
              <w:widowControl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2999" w:type="dxa"/>
            <w:gridSpan w:val="1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89E97">
            <w:pPr>
              <w:widowControl/>
              <w:spacing w:line="320" w:lineRule="exact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516E9F">
            <w:pPr>
              <w:widowControl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总计</w:t>
            </w:r>
          </w:p>
        </w:tc>
      </w:tr>
      <w:tr w14:paraId="5C0D1A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331A2A">
            <w:pPr>
              <w:jc w:val="center"/>
              <w:rPr>
                <w:rFonts w:ascii="宋体" w:hAnsi="宋体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7B1B3B">
            <w:pPr>
              <w:jc w:val="center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27E376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CB517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23BF94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9A4EC4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86001C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5EAF1">
            <w:pPr>
              <w:jc w:val="center"/>
              <w:rPr>
                <w:rFonts w:ascii="宋体" w:hAnsi="宋体" w:eastAsia="仿宋_GB2312"/>
                <w:color w:val="auto"/>
                <w:szCs w:val="21"/>
              </w:rPr>
            </w:pPr>
          </w:p>
        </w:tc>
      </w:tr>
      <w:tr w14:paraId="1E57CB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8BEBC0">
            <w:pPr>
              <w:widowControl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C36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4AB5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698C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90EE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446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9847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39FB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0F1E7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8F7A62">
            <w:pPr>
              <w:widowControl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5D1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2F9A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AD24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E99D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F423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F028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CB97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B2C8BF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FD06D4">
            <w:pPr>
              <w:widowControl/>
              <w:spacing w:after="180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41A0D">
            <w:pPr>
              <w:widowControl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59C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287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3FA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96D3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BC9A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BA0C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3230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947397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919F19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1EC088">
            <w:pPr>
              <w:widowControl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226B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A9B9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228C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611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89C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9817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DA2E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24DE7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BBEEBA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F38DFD">
            <w:pPr>
              <w:widowControl/>
              <w:spacing w:line="200" w:lineRule="exact"/>
              <w:ind w:left="-107" w:leftChars="-51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12BC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0000FF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0000FF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E706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FED8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DCE9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801F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6893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F76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BD16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4CA941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A5948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6E74B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8136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0000FF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0000FF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宋体" w:hAnsi="宋体" w:eastAsia="仿宋_GB2312"/>
                <w:color w:val="0000FF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EA1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C5D5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7C8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9D3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9303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65A0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F92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0BD733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4DD62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9976B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411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0000FF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0000FF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CC3D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EE1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F63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D235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CB5B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3CB1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179F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58550C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930AB5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5BEA0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9789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0000FF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0000FF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宋体" w:hAnsi="宋体" w:eastAsia="仿宋_GB2312"/>
                <w:color w:val="0000FF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E77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2E5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6767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FBE0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916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7B0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BCD5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F305FC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AE36A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DE4B81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57BE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0000FF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0000FF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6FF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BC9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C0FE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82C3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A232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D0E6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573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19E824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E408B7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5CC1F9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1318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0000FF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0000FF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宋体" w:hAnsi="宋体" w:eastAsia="仿宋_GB2312"/>
                <w:color w:val="0000FF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4862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F57C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8A9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B16B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8709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5DBD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F646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A5E826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AAF0D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6012E7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E9CA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0000FF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0000FF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7BC6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17E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3A35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3B4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D75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858C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05AD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76BFE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B8BE45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D48048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BEF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0000FF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0000FF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宋体" w:hAnsi="宋体" w:eastAsia="仿宋_GB2312"/>
                <w:color w:val="0000FF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66D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E48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622A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2CA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807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B7B6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BB7C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E3ACB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76A7F1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63F89">
            <w:pPr>
              <w:widowControl/>
              <w:spacing w:line="200" w:lineRule="exact"/>
              <w:ind w:left="-107" w:leftChars="-51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960118">
            <w:pPr>
              <w:widowControl/>
              <w:spacing w:line="20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DB23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6528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6C6A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B5E7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0D3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F0ED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A50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127462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774823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A4C3C0">
            <w:pPr>
              <w:spacing w:line="200" w:lineRule="exact"/>
              <w:ind w:left="-107" w:leftChars="-51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3762BA">
            <w:pPr>
              <w:widowControl/>
              <w:spacing w:line="20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D554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85AC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6C8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09D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7412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10B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5278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7620E0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BABED7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FBF476">
            <w:pPr>
              <w:spacing w:line="200" w:lineRule="exact"/>
              <w:ind w:left="-107" w:leftChars="-51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80A009">
            <w:pPr>
              <w:widowControl/>
              <w:spacing w:line="20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5536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3C42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FD83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F3B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C7AB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2997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6139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0A498B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3B7915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D9845">
            <w:pPr>
              <w:widowControl/>
              <w:spacing w:line="200" w:lineRule="exact"/>
              <w:ind w:left="-107" w:leftChars="-51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1708E">
            <w:pPr>
              <w:widowControl/>
              <w:spacing w:line="20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0D8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F701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857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BA93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93A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C7BD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2A31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BDE456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7167DF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F5CAA4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BC7AE3">
            <w:pPr>
              <w:widowControl/>
              <w:spacing w:line="20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366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22B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29B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FF6A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462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2958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DDD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7AB264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92669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6968B7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DCDDB3">
            <w:pPr>
              <w:widowControl/>
              <w:spacing w:line="200" w:lineRule="exact"/>
              <w:rPr>
                <w:rFonts w:ascii="宋体" w:hAnsi="宋体" w:eastAsia="仿宋_GB2312"/>
                <w:color w:val="auto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4F2F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05E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15C4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4AB7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9F38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B078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74C5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615108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B7DFAC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39971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5D1607">
            <w:pPr>
              <w:widowControl/>
              <w:spacing w:line="200" w:lineRule="exact"/>
              <w:rPr>
                <w:rFonts w:ascii="宋体" w:hAnsi="宋体" w:eastAsia="仿宋_GB2312"/>
                <w:color w:val="auto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1BFD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5D2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0091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4B74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0BB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8953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BB4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2C8E64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D3E46E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3F9887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25F1F6">
            <w:pPr>
              <w:widowControl/>
              <w:spacing w:line="30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50258471">
            <w:pPr>
              <w:widowControl/>
              <w:spacing w:line="300" w:lineRule="exact"/>
              <w:ind w:firstLine="210" w:firstLineChars="100"/>
              <w:rPr>
                <w:rFonts w:ascii="宋体" w:hAnsi="宋体" w:eastAsia="仿宋_GB2312"/>
                <w:color w:val="auto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19A1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467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637D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A24F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6599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217E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754C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E6D46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3318F9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A7A1A">
            <w:pPr>
              <w:widowControl/>
              <w:spacing w:line="300" w:lineRule="exact"/>
              <w:rPr>
                <w:rFonts w:ascii="宋体" w:hAnsi="宋体" w:eastAsia="黑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088B727">
            <w:pPr>
              <w:widowControl/>
              <w:spacing w:line="300" w:lineRule="exact"/>
              <w:rPr>
                <w:rFonts w:ascii="宋体" w:hAnsi="宋体" w:eastAsia="仿宋_GB2312"/>
                <w:color w:val="auto"/>
              </w:rPr>
            </w:pPr>
            <w:r>
              <w:rPr>
                <w:rFonts w:hint="eastAsia" w:ascii="宋体" w:hAnsi="宋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390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03E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A620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A125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9C9F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80D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7DE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D98731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64E77E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3DC5FC">
            <w:pPr>
              <w:widowControl/>
              <w:spacing w:line="300" w:lineRule="exact"/>
              <w:rPr>
                <w:rFonts w:ascii="宋体" w:hAnsi="宋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87F276F">
            <w:pPr>
              <w:widowControl/>
              <w:spacing w:line="30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0AE3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5A2F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6828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6B1C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761C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1824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C78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0CA363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EEE88F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86C67">
            <w:pPr>
              <w:widowControl/>
              <w:spacing w:line="300" w:lineRule="exact"/>
              <w:rPr>
                <w:rFonts w:ascii="宋体" w:hAnsi="宋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75F2BE7">
            <w:pPr>
              <w:widowControl/>
              <w:spacing w:line="30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2687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FC82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2CE5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80CD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C3E9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9AE4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DA24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2FF95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2B463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2D0B07">
            <w:pPr>
              <w:widowControl/>
              <w:spacing w:line="300" w:lineRule="exact"/>
              <w:rPr>
                <w:rFonts w:ascii="宋体" w:hAnsi="宋体" w:eastAsia="黑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3ED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58B1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6F39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701F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BE96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FADD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EAD5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049CF0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A0F25B">
            <w:pPr>
              <w:widowControl/>
              <w:spacing w:line="300" w:lineRule="exact"/>
              <w:rPr>
                <w:rFonts w:ascii="宋体" w:hAnsi="宋体" w:eastAsia="黑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FFB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63A8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C989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05D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0FEC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BD7C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A3D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372563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976F84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FE2BCA">
            <w:pPr>
              <w:widowControl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033029">
            <w:pPr>
              <w:widowControl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 w14:paraId="77E85FB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BB5AB6">
            <w:pPr>
              <w:widowControl/>
              <w:ind w:left="-149" w:leftChars="-71" w:right="-170" w:rightChars="-81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52C0FBC8">
            <w:pPr>
              <w:widowControl/>
              <w:ind w:left="-149" w:leftChars="-71" w:right="-170" w:rightChars="-81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BFF205">
            <w:pPr>
              <w:widowControl/>
              <w:ind w:left="-43" w:leftChars="-21" w:right="-132" w:rightChars="-63" w:hanging="1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023D5E">
            <w:pPr>
              <w:widowControl/>
              <w:ind w:left="-82" w:leftChars="-39" w:right="-97" w:rightChars="-46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D103CF">
            <w:pPr>
              <w:widowControl/>
              <w:ind w:left="-118" w:leftChars="-56" w:right="-118" w:rightChars="-56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44103274">
            <w:pPr>
              <w:widowControl/>
              <w:ind w:left="-118" w:leftChars="-56" w:right="-118" w:rightChars="-56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ECA36">
            <w:pPr>
              <w:widowControl/>
              <w:spacing w:line="320" w:lineRule="exact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总</w:t>
            </w:r>
          </w:p>
          <w:p w14:paraId="2D841CE7">
            <w:pPr>
              <w:widowControl/>
              <w:spacing w:line="320" w:lineRule="exact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D88D26">
            <w:pPr>
              <w:widowControl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82700">
            <w:pPr>
              <w:widowControl/>
              <w:jc w:val="center"/>
              <w:rPr>
                <w:rFonts w:ascii="宋体" w:hAnsi="宋体" w:eastAsia="黑体"/>
                <w:color w:val="auto"/>
              </w:rPr>
            </w:pPr>
            <w:bookmarkStart w:id="9" w:name="_Hlk67039688"/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2D8A5FF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367775">
            <w:pPr>
              <w:rPr>
                <w:rFonts w:ascii="宋体" w:hAnsi="宋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E46161">
            <w:pPr>
              <w:rPr>
                <w:rFonts w:ascii="宋体" w:hAnsi="宋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945597">
            <w:pPr>
              <w:rPr>
                <w:rFonts w:ascii="宋体" w:hAnsi="宋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B47569">
            <w:pPr>
              <w:rPr>
                <w:rFonts w:ascii="宋体" w:hAnsi="宋体" w:eastAsia="黑体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FA764">
            <w:pPr>
              <w:rPr>
                <w:rFonts w:ascii="宋体" w:hAnsi="宋体" w:eastAsia="黑体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BAB240">
            <w:pPr>
              <w:widowControl/>
              <w:ind w:left="-105" w:leftChars="-50" w:right="-126" w:rightChars="-60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15950">
            <w:pPr>
              <w:widowControl/>
              <w:ind w:left="-86" w:leftChars="-41" w:right="-88" w:rightChars="-42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38160B">
            <w:pPr>
              <w:widowControl/>
              <w:ind w:left="-126" w:leftChars="-60" w:right="-136" w:rightChars="-65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59584BD2">
            <w:pPr>
              <w:widowControl/>
              <w:ind w:left="-126" w:leftChars="-60" w:right="-136" w:rightChars="-65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2547B5">
            <w:pPr>
              <w:widowControl/>
              <w:ind w:left="-164" w:leftChars="-78" w:right="-153" w:rightChars="-73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18228B35">
            <w:pPr>
              <w:widowControl/>
              <w:ind w:left="-164" w:leftChars="-78" w:right="-153" w:rightChars="-73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78D14E">
            <w:pPr>
              <w:widowControl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A37BF">
            <w:pPr>
              <w:widowControl/>
              <w:ind w:left="-99" w:leftChars="-47" w:right="-78" w:rightChars="-37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BB3DF">
            <w:pPr>
              <w:widowControl/>
              <w:ind w:left="-136" w:leftChars="-65" w:right="-124" w:rightChars="-59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3F80404B">
            <w:pPr>
              <w:widowControl/>
              <w:ind w:left="-136" w:leftChars="-65" w:right="-124" w:rightChars="-59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BDC9E6">
            <w:pPr>
              <w:widowControl/>
              <w:ind w:left="-173" w:leftChars="-83" w:right="-134" w:rightChars="-64" w:hanging="1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2112C661">
            <w:pPr>
              <w:widowControl/>
              <w:ind w:left="-173" w:leftChars="-83" w:right="-134" w:rightChars="-64" w:hanging="1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32FDD">
            <w:pPr>
              <w:widowControl/>
              <w:ind w:left="-67" w:leftChars="-33" w:right="-105" w:rightChars="-50" w:hanging="2" w:hangingChars="1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AFD8AE">
            <w:pPr>
              <w:widowControl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 w14:paraId="35CFDB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116D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3D39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93B5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B5FB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CDDD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D140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748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13EF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A55B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7BF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3D1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A419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8040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E677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D993E6">
            <w:pPr>
              <w:widowControl/>
              <w:spacing w:after="180"/>
              <w:jc w:val="center"/>
              <w:rPr>
                <w:rFonts w:hint="eastAsia" w:ascii="宋体" w:hAnsi="宋体" w:eastAsiaTheme="minorEastAsia"/>
                <w:color w:va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lang w:val="en-US" w:eastAsia="zh-CN"/>
              </w:rPr>
              <w:t>0</w:t>
            </w:r>
          </w:p>
        </w:tc>
      </w:tr>
    </w:tbl>
    <w:p w14:paraId="49D5DEC3">
      <w:pPr>
        <w:widowControl/>
        <w:jc w:val="left"/>
        <w:rPr>
          <w:rFonts w:hint="eastAsia" w:ascii="宋体" w:hAnsi="宋体" w:eastAsia="仿宋_GB2312" w:cs="Calibri"/>
          <w:color w:val="auto"/>
          <w:kern w:val="0"/>
          <w:szCs w:val="21"/>
          <w:lang w:val="en-US" w:eastAsia="zh-CN"/>
        </w:rPr>
      </w:pPr>
    </w:p>
    <w:p w14:paraId="43ED390D">
      <w:pPr>
        <w:pStyle w:val="3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 w14:paraId="032FEA1A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宋体" w:hAnsi="宋体" w:eastAsia="sans-serif" w:cs="sans-serif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="宋体" w:hAnsi="宋体" w:eastAsia="楷体_GB2312" w:cs="楷体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（一）存在问题</w:t>
      </w:r>
    </w:p>
    <w:p w14:paraId="67F98E1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在2024年的政府信息公开工作中，蔄山镇虽取得了一定进展，但仍面临若干挑战与不足之处。一是信息公开的时效性不足。</w:t>
      </w:r>
      <w:bookmarkStart w:id="10" w:name="_GoBack"/>
      <w:bookmarkEnd w:id="10"/>
      <w:r>
        <w:rPr>
          <w:rFonts w:hint="eastAsia" w:ascii="宋体" w:hAnsi="宋体" w:eastAsia="仿宋_GB2312" w:cs="仿宋_GB2312"/>
          <w:i w:val="0"/>
          <w:caps w:val="0"/>
          <w:color w:val="0000FF"/>
          <w:spacing w:val="0"/>
          <w:kern w:val="2"/>
          <w:sz w:val="32"/>
          <w:szCs w:val="32"/>
          <w:shd w:val="clear" w:fill="FFFFFF"/>
          <w:lang w:val="en-US" w:eastAsia="zh-CN" w:bidi="ar-SA"/>
        </w:rPr>
        <w:t>政务公开</w:t>
      </w: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部分事项的更新与发布存在时效性问题。在突发事件和重要政策发布方面，信息更新和发布的速度仍有待提升。二是群众参与度不高。</w:t>
      </w:r>
      <w:r>
        <w:rPr>
          <w:rFonts w:hint="eastAsia" w:ascii="宋体" w:hAnsi="宋体" w:eastAsia="仿宋_GB2312" w:cs="仿宋_GB2312"/>
          <w:i w:val="0"/>
          <w:caps w:val="0"/>
          <w:color w:val="0000FF"/>
          <w:spacing w:val="0"/>
          <w:kern w:val="2"/>
          <w:sz w:val="32"/>
          <w:szCs w:val="32"/>
          <w:shd w:val="clear" w:fill="FFFFFF"/>
          <w:lang w:val="en-US" w:eastAsia="zh-CN" w:bidi="ar-SA"/>
        </w:rPr>
        <w:t>尽管有群众反馈渠道，</w:t>
      </w: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但群众的参与热情不高，在政府决策、预算执行等涉及公众利益的议题上，群众的反馈和参与程度仍然较低。部分群众对于政务公开平台的使用不够熟悉，导致信息获取不全面，互动不频繁。三是公开内容的深度和广度有待加强。当前公开的内容多集中在基础性的信息和事项上，部分涉及政府运作细节、重要项目进展等内容仍然较为浅显，公众对政策背景和执行过程的理解还不够深入。</w:t>
      </w:r>
    </w:p>
    <w:p w14:paraId="49B7CC79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宋体" w:hAnsi="宋体" w:eastAsia="sans-serif" w:cs="sans-serif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="宋体" w:hAnsi="宋体" w:eastAsia="楷体_GB2312" w:cs="楷体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（二）改进情况</w:t>
      </w:r>
    </w:p>
    <w:p w14:paraId="08AB8E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eastAsia="zh-CN"/>
        </w:rPr>
      </w:pP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鉴于现存不足，蔄山镇计划从以下几个关键点着手，进一步强化其政府信息公开工作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eastAsia="zh-CN"/>
        </w:rPr>
        <w:t>。</w:t>
      </w:r>
    </w:p>
    <w:p w14:paraId="1C2914AC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一是提升信息公开时效性。加强信息公开的协同机制，明确信息公开的时间节点和责任人，确保各类政务信息能够及时、准确地发布，特别是在重大政策发布、突发事件应对等方面要做到及时响应，避免信息滞后。</w:t>
      </w:r>
    </w:p>
    <w:p w14:paraId="22A31E23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二是加强群众参与和反馈机制。我镇将进一步加强政务公开与群众的互动。通过举办座谈会、政策宣讲等形式，增强群众参与政府决策的意识与积极性。同时，包村干部通过“一线工作法”宣传政府信息公开平台，增加平台群众参与度，鼓励群众提出意见和建议，推动政务公开向“民意引领”发展。</w:t>
      </w:r>
    </w:p>
    <w:p w14:paraId="0CB14828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三是拓展公开内容的深度与广度。扩大政务公开的范围，涉及更多决策过程、项目进展、财政预算等细节方面，增强公开内容的深度，帮助群众更好理解政府政策，提升政务透明度和政府公信力。</w:t>
      </w:r>
    </w:p>
    <w:p w14:paraId="7C6F923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4A47403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宋体" w:hAnsi="宋体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宋体" w:hAnsi="宋体" w:cs="Times New Roman"/>
          <w:color w:val="auto"/>
          <w:sz w:val="32"/>
          <w:szCs w:val="32"/>
        </w:rPr>
        <w:t>1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.</w:t>
      </w:r>
      <w:r>
        <w:rPr>
          <w:rFonts w:hint="default" w:ascii="宋体" w:hAnsi="宋体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宋体" w:hAnsi="宋体" w:cs="Times New Roman"/>
          <w:color w:val="auto"/>
          <w:sz w:val="32"/>
          <w:szCs w:val="32"/>
        </w:rPr>
        <w:t>202</w:t>
      </w:r>
      <w:r>
        <w:rPr>
          <w:rFonts w:hint="eastAsia" w:ascii="宋体" w:hAnsi="宋体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年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蔄山镇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未收取政府信息公开信息处理费。</w:t>
      </w:r>
    </w:p>
    <w:p w14:paraId="70399337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宋体" w:hAnsi="宋体" w:cs="Times New Roman"/>
          <w:color w:val="auto"/>
          <w:sz w:val="32"/>
          <w:szCs w:val="32"/>
          <w:highlight w:val="none"/>
        </w:rPr>
      </w:pPr>
      <w:r>
        <w:rPr>
          <w:rFonts w:hint="default" w:ascii="宋体" w:hAnsi="宋体" w:cs="Times New Roman"/>
          <w:color w:val="auto"/>
          <w:sz w:val="32"/>
          <w:szCs w:val="32"/>
          <w:highlight w:val="none"/>
        </w:rPr>
        <w:t>2</w:t>
      </w:r>
      <w:r>
        <w:rPr>
          <w:rFonts w:hint="default" w:ascii="宋体" w:hAnsi="宋体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宋体" w:hAnsi="宋体" w:eastAsia="楷体_GB2312" w:cs="Times New Roman"/>
          <w:color w:val="auto"/>
          <w:sz w:val="32"/>
          <w:szCs w:val="32"/>
          <w:highlight w:val="none"/>
        </w:rPr>
        <w:t>人大代表、政协委员提案办理方面：</w:t>
      </w:r>
      <w:r>
        <w:rPr>
          <w:rFonts w:hint="default" w:ascii="宋体" w:hAnsi="宋体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宋体" w:hAnsi="宋体" w:cs="Times New Roman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宋体" w:hAnsi="宋体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ascii="宋体" w:hAnsi="宋体" w:eastAsia="仿宋_GB2312" w:cs="Times New Roman"/>
          <w:color w:val="auto"/>
          <w:sz w:val="32"/>
          <w:szCs w:val="32"/>
          <w:highlight w:val="none"/>
          <w:lang w:val="en-US" w:eastAsia="zh-CN"/>
        </w:rPr>
        <w:t>蔄山镇</w:t>
      </w:r>
      <w:r>
        <w:rPr>
          <w:rFonts w:hint="eastAsia" w:ascii="宋体" w:hAnsi="宋体" w:eastAsia="仿宋_GB2312" w:cs="Times New Roman"/>
          <w:color w:val="auto"/>
          <w:sz w:val="32"/>
          <w:szCs w:val="32"/>
          <w:highlight w:val="none"/>
          <w:lang w:eastAsia="zh-CN"/>
        </w:rPr>
        <w:t>未</w:t>
      </w:r>
      <w:r>
        <w:rPr>
          <w:rFonts w:hint="default" w:ascii="宋体" w:hAnsi="宋体" w:eastAsia="仿宋_GB2312" w:cs="Times New Roman"/>
          <w:color w:val="auto"/>
          <w:sz w:val="32"/>
          <w:szCs w:val="32"/>
          <w:highlight w:val="none"/>
        </w:rPr>
        <w:t>承办市人大代表建议、政协提案。</w:t>
      </w:r>
    </w:p>
    <w:p w14:paraId="1A5BE3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宋体" w:hAnsi="宋体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.</w:t>
      </w:r>
      <w:r>
        <w:rPr>
          <w:rFonts w:hint="default" w:ascii="宋体" w:hAnsi="宋体" w:eastAsia="楷体_GB2312" w:cs="Times New Roman"/>
          <w:color w:val="auto"/>
          <w:sz w:val="32"/>
          <w:szCs w:val="32"/>
        </w:rPr>
        <w:t>其他方面</w:t>
      </w:r>
      <w:r>
        <w:rPr>
          <w:rFonts w:hint="default" w:ascii="宋体" w:hAnsi="宋体" w:eastAsia="楷体_GB2312" w:cs="Times New Roman"/>
          <w:color w:val="auto"/>
          <w:sz w:val="32"/>
          <w:szCs w:val="32"/>
          <w:highlight w:val="none"/>
        </w:rPr>
        <w:t>：</w:t>
      </w:r>
      <w:r>
        <w:rPr>
          <w:rFonts w:hint="eastAsia" w:ascii="宋体" w:hAnsi="宋体" w:eastAsia="仿宋_GB2312" w:cs="Times New Roman"/>
          <w:color w:val="auto"/>
          <w:sz w:val="32"/>
          <w:szCs w:val="32"/>
          <w:highlight w:val="none"/>
          <w:lang w:val="en-US" w:eastAsia="zh-CN"/>
        </w:rPr>
        <w:t>2024年，蔄山镇致力于拓宽政务公开的多种途径，旨在将公开工作深入基层，以此强化政务公开体系的建设。在持续提升公共服务质量并稳固当前工作成效的同时，力求更加高效地服务于民众。</w:t>
      </w:r>
    </w:p>
    <w:p w14:paraId="1CD7D2BC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14ABE30-7171-49DB-8835-48D1D0E953D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B44E0315-CFA7-421B-B0C9-9CE5335FF984}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  <w:embedRegular r:id="rId3" w:fontKey="{3770A137-9C98-4A27-B678-D839A2BAD24A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0A66A7F3-E8F5-46C6-96C1-79C524BD75E2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5" w:fontKey="{7B09FF0A-998D-4EA9-9883-20E06A6AE449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6" w:fontKey="{0E0429EA-DFF2-494F-8FC1-A2E419A5EC8E}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7" w:fontKey="{ECA903F1-52F6-4E35-B232-3F22A664800E}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0FEB1DCC"/>
    <w:rsid w:val="11AF18C8"/>
    <w:rsid w:val="132E2DE5"/>
    <w:rsid w:val="14B36B99"/>
    <w:rsid w:val="17286D05"/>
    <w:rsid w:val="1A6A77C7"/>
    <w:rsid w:val="1FA171CD"/>
    <w:rsid w:val="21E9640B"/>
    <w:rsid w:val="2C7642D0"/>
    <w:rsid w:val="35FA5E74"/>
    <w:rsid w:val="371F3D0E"/>
    <w:rsid w:val="38F616DC"/>
    <w:rsid w:val="38FB2168"/>
    <w:rsid w:val="3A057FF5"/>
    <w:rsid w:val="42F75C15"/>
    <w:rsid w:val="464F74E8"/>
    <w:rsid w:val="4BE17463"/>
    <w:rsid w:val="4FB103B3"/>
    <w:rsid w:val="511E6463"/>
    <w:rsid w:val="54F23AC6"/>
    <w:rsid w:val="56F344A5"/>
    <w:rsid w:val="68C9088B"/>
    <w:rsid w:val="6C7C7FF0"/>
    <w:rsid w:val="77181135"/>
    <w:rsid w:val="77927421"/>
    <w:rsid w:val="77C63B42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3070</Words>
  <Characters>3171</Characters>
  <Lines>0</Lines>
  <Paragraphs>0</Paragraphs>
  <TotalTime>29</TotalTime>
  <ScaleCrop>false</ScaleCrop>
  <LinksUpToDate>false</LinksUpToDate>
  <CharactersWithSpaces>3171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思之如狂</cp:lastModifiedBy>
  <cp:lastPrinted>2023-01-16T09:08:00Z</cp:lastPrinted>
  <dcterms:modified xsi:type="dcterms:W3CDTF">2025-01-22T02:43:23Z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4E660A9971C342A5A4C82D63D0148CCD_13</vt:lpwstr>
  </property>
  <property fmtid="{D5CDD505-2E9C-101B-9397-08002B2CF9AE}" pid="4" name="KSOTemplateDocerSaveRecord">
    <vt:lpwstr>eyJoZGlkIjoiZjU5NDliMTViZDA0ZmNhNGRhZWZlZjdkNmZiZGM4YzQiLCJ1c2VySWQiOiI0OTkxODIxNzQifQ==</vt:lpwstr>
  </property>
</Properties>
</file>